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sz w:val="44"/>
          <w:szCs w:val="44"/>
        </w:rPr>
      </w:pPr>
      <w:bookmarkStart w:id="0" w:name="_Toc109115533"/>
      <w:bookmarkStart w:id="1" w:name="_Toc326585949"/>
      <w:bookmarkStart w:id="60" w:name="_GoBack"/>
      <w:bookmarkEnd w:id="60"/>
    </w:p>
    <w:p>
      <w:pPr>
        <w:autoSpaceDE w:val="0"/>
        <w:autoSpaceDN w:val="0"/>
        <w:adjustRightInd w:val="0"/>
        <w:spacing w:line="360" w:lineRule="auto"/>
        <w:jc w:val="center"/>
        <w:rPr>
          <w:rFonts w:ascii="黑体" w:hAnsi="黑体" w:eastAsia="黑体" w:cs="楷体"/>
          <w:kern w:val="0"/>
          <w:sz w:val="72"/>
          <w:szCs w:val="72"/>
        </w:rPr>
      </w:pPr>
    </w:p>
    <w:p>
      <w:pPr>
        <w:autoSpaceDE w:val="0"/>
        <w:autoSpaceDN w:val="0"/>
        <w:adjustRightInd w:val="0"/>
        <w:spacing w:line="360" w:lineRule="auto"/>
        <w:jc w:val="center"/>
        <w:rPr>
          <w:rFonts w:ascii="黑体" w:hAnsi="黑体" w:eastAsia="黑体" w:cs="楷体"/>
          <w:kern w:val="0"/>
          <w:sz w:val="56"/>
          <w:szCs w:val="56"/>
        </w:rPr>
      </w:pPr>
      <w:r>
        <w:rPr>
          <w:rFonts w:hint="eastAsia" w:ascii="黑体" w:hAnsi="黑体" w:eastAsia="黑体" w:cs="楷体"/>
          <w:kern w:val="0"/>
          <w:sz w:val="56"/>
          <w:szCs w:val="56"/>
          <w:lang w:val="en-US" w:eastAsia="zh-CN"/>
        </w:rPr>
        <w:t>宜昌三峡大老岭自然保护区新宫移民居民点生活用水设施改造项目等工程施工图设计</w:t>
      </w:r>
    </w:p>
    <w:p>
      <w:pPr>
        <w:jc w:val="center"/>
        <w:rPr>
          <w:rFonts w:ascii="黑体" w:hAnsi="黑体" w:eastAsia="黑体"/>
          <w:sz w:val="44"/>
          <w:szCs w:val="44"/>
        </w:rPr>
      </w:pPr>
    </w:p>
    <w:p>
      <w:pPr>
        <w:autoSpaceDE w:val="0"/>
        <w:autoSpaceDN w:val="0"/>
        <w:adjustRightInd w:val="0"/>
        <w:spacing w:line="360" w:lineRule="auto"/>
        <w:jc w:val="center"/>
        <w:rPr>
          <w:rFonts w:ascii="黑体" w:hAnsi="黑体" w:eastAsia="黑体" w:cs="楷体"/>
          <w:kern w:val="0"/>
          <w:sz w:val="110"/>
          <w:szCs w:val="110"/>
        </w:rPr>
      </w:pPr>
      <w:r>
        <w:rPr>
          <w:rFonts w:hint="eastAsia" w:ascii="黑体" w:hAnsi="黑体" w:eastAsia="黑体" w:cs="楷体"/>
          <w:kern w:val="0"/>
          <w:sz w:val="72"/>
          <w:szCs w:val="72"/>
        </w:rPr>
        <w:t>竞争性谈判文件</w:t>
      </w:r>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ascii="黑体" w:hAnsi="黑体" w:eastAsia="黑体"/>
          <w:sz w:val="30"/>
          <w:szCs w:val="30"/>
        </w:rPr>
      </w:pPr>
      <w:r>
        <w:rPr>
          <w:rFonts w:hint="eastAsia" w:ascii="黑体" w:hAnsi="黑体" w:eastAsia="黑体"/>
          <w:sz w:val="32"/>
          <w:szCs w:val="32"/>
        </w:rPr>
        <w:t>采购人：</w:t>
      </w:r>
      <w:r>
        <w:rPr>
          <w:rFonts w:hint="eastAsia" w:ascii="黑体" w:hAnsi="黑体" w:eastAsia="黑体"/>
          <w:sz w:val="30"/>
          <w:szCs w:val="30"/>
        </w:rPr>
        <w:t>宜昌三峡大老岭自然保护区管理局</w:t>
      </w:r>
    </w:p>
    <w:p>
      <w:pPr>
        <w:spacing w:line="360" w:lineRule="auto"/>
        <w:jc w:val="center"/>
        <w:rPr>
          <w:rFonts w:ascii="黑体" w:hAnsi="黑体" w:eastAsia="黑体"/>
          <w:sz w:val="30"/>
          <w:szCs w:val="30"/>
        </w:rPr>
      </w:pPr>
    </w:p>
    <w:p>
      <w:pPr>
        <w:spacing w:line="360" w:lineRule="auto"/>
        <w:jc w:val="center"/>
      </w:pPr>
      <w:r>
        <w:rPr>
          <w:rFonts w:hint="eastAsia" w:ascii="黑体" w:hAnsi="黑体" w:eastAsia="黑体"/>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val="en-US" w:eastAsia="zh-CN"/>
        </w:rPr>
        <w:t>4</w:t>
      </w:r>
      <w:r>
        <w:rPr>
          <w:rFonts w:hint="eastAsia" w:ascii="黑体" w:hAnsi="黑体" w:eastAsia="黑体"/>
          <w:sz w:val="32"/>
          <w:szCs w:val="32"/>
        </w:rPr>
        <w:t>月</w:t>
      </w:r>
      <w:bookmarkStart w:id="2" w:name="_Toc11910"/>
      <w:bookmarkStart w:id="3" w:name="_Toc4940"/>
      <w:bookmarkStart w:id="4" w:name="_Toc30389"/>
      <w:bookmarkStart w:id="5" w:name="_Toc23441"/>
      <w:bookmarkStart w:id="6" w:name="_Toc2155"/>
      <w:bookmarkStart w:id="7" w:name="_Toc6366"/>
      <w:bookmarkStart w:id="8" w:name="_Toc5626"/>
      <w:bookmarkStart w:id="9" w:name="_Toc27399"/>
    </w:p>
    <w:p>
      <w:pPr>
        <w:jc w:val="center"/>
        <w:rPr>
          <w:rFonts w:ascii="黑体" w:hAnsi="黑体" w:eastAsia="黑体"/>
          <w:sz w:val="44"/>
          <w:szCs w:val="44"/>
        </w:rPr>
      </w:pPr>
      <w:bookmarkStart w:id="10" w:name="_Toc14487"/>
      <w:bookmarkStart w:id="11" w:name="_Toc21271"/>
      <w:bookmarkStart w:id="12" w:name="_Toc1464"/>
      <w:bookmarkStart w:id="13" w:name="_Toc23743"/>
      <w:r>
        <w:br w:type="page"/>
      </w:r>
      <w:r>
        <w:rPr>
          <w:rFonts w:hint="eastAsia" w:ascii="黑体" w:hAnsi="黑体" w:eastAsia="黑体"/>
          <w:sz w:val="44"/>
          <w:szCs w:val="44"/>
        </w:rPr>
        <w:t>目  录</w:t>
      </w:r>
    </w:p>
    <w:p>
      <w:pPr>
        <w:pStyle w:val="8"/>
        <w:rPr>
          <w:rFonts w:ascii="Calibri" w:hAnsi="Calibri"/>
          <w:bCs w:val="0"/>
          <w:caps w:val="0"/>
          <w:snapToGrid/>
          <w:sz w:val="21"/>
          <w:szCs w:val="22"/>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"_Toc505686267" </w:instrText>
      </w:r>
      <w:r>
        <w:fldChar w:fldCharType="separate"/>
      </w:r>
      <w:r>
        <w:rPr>
          <w:rStyle w:val="12"/>
          <w:rFonts w:hint="eastAsia"/>
        </w:rPr>
        <w:t>第一章竞争性谈判邀请函</w:t>
      </w:r>
      <w:r>
        <w:tab/>
      </w:r>
      <w:r>
        <w:rPr>
          <w:rFonts w:hint="eastAsia"/>
        </w:rPr>
        <w:t>1</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"_Toc505686268" </w:instrText>
      </w:r>
      <w:r>
        <w:fldChar w:fldCharType="separate"/>
      </w:r>
      <w:r>
        <w:rPr>
          <w:rStyle w:val="12"/>
          <w:rFonts w:hint="eastAsia"/>
        </w:rPr>
        <w:t>第二章谈判须知</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"_Toc505686269" </w:instrText>
      </w:r>
      <w:r>
        <w:fldChar w:fldCharType="separate"/>
      </w:r>
      <w:r>
        <w:rPr>
          <w:rStyle w:val="12"/>
          <w:rFonts w:hint="eastAsia"/>
        </w:rPr>
        <w:t>一、总则</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"_Toc505686270" </w:instrText>
      </w:r>
      <w:r>
        <w:fldChar w:fldCharType="separate"/>
      </w:r>
      <w:r>
        <w:rPr>
          <w:rStyle w:val="12"/>
          <w:rFonts w:hint="eastAsia"/>
        </w:rPr>
        <w:t>二、竞争性谈判响应文件的编制</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"_Toc505686271" </w:instrText>
      </w:r>
      <w:r>
        <w:fldChar w:fldCharType="separate"/>
      </w:r>
      <w:r>
        <w:rPr>
          <w:rStyle w:val="12"/>
          <w:rFonts w:hint="eastAsia"/>
        </w:rPr>
        <w:t>三、谈判报价要求</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"_Toc505686272" </w:instrText>
      </w:r>
      <w:r>
        <w:fldChar w:fldCharType="separate"/>
      </w:r>
      <w:r>
        <w:rPr>
          <w:rStyle w:val="12"/>
          <w:rFonts w:hint="eastAsia"/>
        </w:rPr>
        <w:t>四、竞争性谈判响应文件的份数、封装和递交</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"_Toc505686273" </w:instrText>
      </w:r>
      <w:r>
        <w:fldChar w:fldCharType="separate"/>
      </w:r>
      <w:r>
        <w:rPr>
          <w:rStyle w:val="12"/>
          <w:rFonts w:hint="eastAsia"/>
        </w:rPr>
        <w:t>五、谈判的步骤</w:t>
      </w:r>
      <w:r>
        <w:tab/>
      </w:r>
      <w:r>
        <w:rPr>
          <w:rFonts w:hint="eastAsia"/>
        </w:rPr>
        <w:t>7</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"_Toc505686274" </w:instrText>
      </w:r>
      <w:r>
        <w:fldChar w:fldCharType="separate"/>
      </w:r>
      <w:r>
        <w:rPr>
          <w:rStyle w:val="12"/>
          <w:rFonts w:hint="eastAsia"/>
        </w:rPr>
        <w:t>六、确定成交供应商</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"_Toc505686275" </w:instrText>
      </w:r>
      <w:r>
        <w:fldChar w:fldCharType="separate"/>
      </w:r>
      <w:r>
        <w:rPr>
          <w:rStyle w:val="12"/>
          <w:rFonts w:hint="eastAsia"/>
        </w:rPr>
        <w:t>七、签订合同</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"_Toc505686276" </w:instrText>
      </w:r>
      <w:r>
        <w:fldChar w:fldCharType="separate"/>
      </w:r>
      <w:r>
        <w:rPr>
          <w:rStyle w:val="12"/>
          <w:rFonts w:hint="eastAsia"/>
        </w:rPr>
        <w:t>八、适用法律</w:t>
      </w:r>
      <w:r>
        <w:tab/>
      </w:r>
      <w:r>
        <w:rPr>
          <w:rFonts w:hint="eastAsia"/>
        </w:rPr>
        <w:t>8</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"_Toc505686277" </w:instrText>
      </w:r>
      <w:r>
        <w:fldChar w:fldCharType="separate"/>
      </w:r>
      <w:r>
        <w:rPr>
          <w:rStyle w:val="12"/>
          <w:rFonts w:hint="eastAsia"/>
        </w:rPr>
        <w:t>第三章采购项目概况及要求</w:t>
      </w:r>
      <w:r>
        <w:tab/>
      </w:r>
      <w:r>
        <w:fldChar w:fldCharType="end"/>
      </w:r>
      <w:r>
        <w:rPr>
          <w:rFonts w:hint="eastAsia"/>
        </w:rPr>
        <w:t>9</w:t>
      </w:r>
    </w:p>
    <w:p>
      <w:pPr>
        <w:pStyle w:val="8"/>
        <w:rPr>
          <w:rFonts w:ascii="Calibri" w:hAnsi="Calibri" w:eastAsia="宋体"/>
          <w:bCs w:val="0"/>
          <w:caps w:val="0"/>
          <w:snapToGrid/>
          <w:sz w:val="21"/>
          <w:szCs w:val="22"/>
        </w:rPr>
      </w:pPr>
      <w:r>
        <w:fldChar w:fldCharType="begin"/>
      </w:r>
      <w:r>
        <w:instrText xml:space="preserve"> HYPERLINK \l "_Toc505686279" </w:instrText>
      </w:r>
      <w:r>
        <w:fldChar w:fldCharType="separate"/>
      </w:r>
      <w:r>
        <w:rPr>
          <w:rStyle w:val="12"/>
          <w:rFonts w:hint="eastAsia"/>
        </w:rPr>
        <w:t>第四章竞争性谈判文件参考格式</w:t>
      </w:r>
      <w:r>
        <w:tab/>
      </w:r>
      <w:r>
        <w:rPr>
          <w:rFonts w:hint="eastAsia"/>
        </w:rPr>
        <w:t>1</w:t>
      </w:r>
      <w:r>
        <w:rPr>
          <w:rFonts w:hint="eastAsia"/>
        </w:rPr>
        <w:fldChar w:fldCharType="end"/>
      </w:r>
      <w:r>
        <w:rPr>
          <w:rFonts w:hint="eastAsia"/>
        </w:rPr>
        <w:t>6</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"_Toc505686280" </w:instrText>
      </w:r>
      <w:r>
        <w:fldChar w:fldCharType="separate"/>
      </w:r>
      <w:r>
        <w:rPr>
          <w:rStyle w:val="12"/>
          <w:rFonts w:hint="eastAsia"/>
        </w:rPr>
        <w:t>一、商务文件组成</w:t>
      </w:r>
      <w:r>
        <w:tab/>
      </w:r>
      <w:r>
        <w:rPr>
          <w:rFonts w:hint="eastAsia"/>
        </w:rPr>
        <w:t>1</w:t>
      </w:r>
      <w:r>
        <w:rPr>
          <w:rFonts w:hint="eastAsia"/>
        </w:rPr>
        <w:fldChar w:fldCharType="end"/>
      </w:r>
      <w:r>
        <w:rPr>
          <w:rFonts w:hint="eastAsia"/>
        </w:rPr>
        <w:t>7</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"_Toc505686281" </w:instrText>
      </w:r>
      <w:r>
        <w:fldChar w:fldCharType="separate"/>
      </w:r>
      <w:r>
        <w:rPr>
          <w:rStyle w:val="12"/>
          <w:rFonts w:hint="eastAsia"/>
        </w:rPr>
        <w:t>二、技术文件组成</w:t>
      </w:r>
      <w:r>
        <w:tab/>
      </w:r>
      <w:r>
        <w:rPr>
          <w:rFonts w:hint="eastAsia"/>
        </w:rPr>
        <w:t>1</w:t>
      </w:r>
      <w:r>
        <w:rPr>
          <w:rFonts w:hint="eastAsia"/>
        </w:rPr>
        <w:fldChar w:fldCharType="end"/>
      </w:r>
      <w:r>
        <w:rPr>
          <w:rFonts w:hint="eastAsia"/>
        </w:rPr>
        <w:t>8</w:t>
      </w:r>
    </w:p>
    <w:p>
      <w:r>
        <w:rPr>
          <w:rFonts w:ascii="楷体_GB2312"/>
          <w:bCs/>
          <w:caps/>
          <w:snapToGrid w:val="0"/>
          <w:sz w:val="28"/>
          <w:szCs w:val="28"/>
        </w:rPr>
        <w:fldChar w:fldCharType="end"/>
      </w:r>
    </w:p>
    <w:p>
      <w:pPr>
        <w:pStyle w:val="2"/>
        <w:spacing w:line="360" w:lineRule="auto"/>
      </w:pPr>
      <w:r>
        <w:br w:type="page"/>
      </w:r>
      <w:bookmarkStart w:id="14" w:name="_Toc505686267"/>
      <w:r>
        <w:rPr>
          <w:rFonts w:hint="eastAsia"/>
        </w:rPr>
        <w:t>第一章竞争性谈判邀请函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20" w:lineRule="exact"/>
        <w:ind w:firstLine="420" w:firstLineChars="200"/>
        <w:jc w:val="left"/>
        <w:rPr>
          <w:rFonts w:asciiTheme="minorEastAsia" w:hAnsiTheme="minorEastAsia" w:cstheme="minorEastAsia"/>
          <w:kern w:val="0"/>
          <w:szCs w:val="21"/>
        </w:rPr>
      </w:pPr>
      <w:bookmarkStart w:id="15" w:name="_Toc21545"/>
      <w:bookmarkStart w:id="16" w:name="_Toc32066"/>
      <w:bookmarkStart w:id="17" w:name="_Toc15814"/>
      <w:bookmarkStart w:id="18" w:name="_Toc9414"/>
      <w:bookmarkStart w:id="19" w:name="_Toc10580"/>
      <w:bookmarkStart w:id="20" w:name="_Toc25290"/>
      <w:r>
        <w:rPr>
          <w:rFonts w:hint="eastAsia" w:asciiTheme="minorEastAsia" w:hAnsiTheme="minorEastAsia" w:cstheme="minorEastAsia"/>
          <w:kern w:val="0"/>
          <w:szCs w:val="21"/>
          <w:lang w:eastAsia="zh-CN"/>
        </w:rPr>
        <w:t>依据《中华人民共和国政府采购法》《工程建设项目勘察设计招标投标办法》</w:t>
      </w:r>
      <w:r>
        <w:rPr>
          <w:rFonts w:hint="eastAsia" w:asciiTheme="minorEastAsia" w:hAnsiTheme="minorEastAsia" w:cstheme="minorEastAsia"/>
          <w:kern w:val="0"/>
          <w:szCs w:val="21"/>
        </w:rPr>
        <w:t>，宜昌三峡大老岭自然保护区管理局拟就宜昌三峡大老岭自然保护区</w:t>
      </w:r>
      <w:r>
        <w:rPr>
          <w:rFonts w:hint="eastAsia" w:asciiTheme="minorEastAsia" w:hAnsiTheme="minorEastAsia" w:cstheme="minorEastAsia"/>
          <w:kern w:val="0"/>
          <w:szCs w:val="21"/>
          <w:lang w:val="en-US" w:eastAsia="zh-CN"/>
        </w:rPr>
        <w:t>移民安置区饮用水源保护净化及移民综合楼顶层防渗漏处理工程和</w:t>
      </w:r>
      <w:r>
        <w:rPr>
          <w:rFonts w:hint="eastAsia" w:asciiTheme="minorEastAsia" w:hAnsiTheme="minorEastAsia" w:cstheme="minorEastAsia"/>
          <w:kern w:val="0"/>
          <w:szCs w:val="21"/>
        </w:rPr>
        <w:t>宜昌三峡大老岭自然保护区</w:t>
      </w:r>
      <w:r>
        <w:rPr>
          <w:rFonts w:hint="eastAsia" w:asciiTheme="minorEastAsia" w:hAnsiTheme="minorEastAsia" w:cstheme="minorEastAsia"/>
          <w:kern w:val="0"/>
          <w:szCs w:val="21"/>
          <w:lang w:val="en-US" w:eastAsia="zh-CN"/>
        </w:rPr>
        <w:t>新宫移民居民点生活用水设施改造项目施工图</w:t>
      </w:r>
      <w:r>
        <w:rPr>
          <w:rFonts w:hint="eastAsia" w:asciiTheme="minorEastAsia" w:hAnsiTheme="minorEastAsia" w:cstheme="minorEastAsia"/>
          <w:kern w:val="0"/>
          <w:szCs w:val="21"/>
        </w:rPr>
        <w:t>设计采取竞争性谈判方式选择技术服务单位，现将有关事项公告如下：</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一、项目采购名称：</w:t>
      </w:r>
      <w:r>
        <w:rPr>
          <w:rFonts w:hint="eastAsia" w:asciiTheme="minorEastAsia" w:hAnsiTheme="minorEastAsia" w:cstheme="minorEastAsia"/>
          <w:kern w:val="0"/>
          <w:szCs w:val="21"/>
          <w:lang w:val="en-US" w:eastAsia="zh-CN"/>
        </w:rPr>
        <w:t>宜昌三峡大老岭自然保护区新宫移民居民点生活用水设施改造项目等工程施工图</w:t>
      </w:r>
      <w:r>
        <w:rPr>
          <w:rFonts w:hint="eastAsia" w:asciiTheme="minorEastAsia" w:hAnsiTheme="minorEastAsia" w:cstheme="minorEastAsia"/>
          <w:kern w:val="0"/>
          <w:szCs w:val="21"/>
          <w:lang w:eastAsia="zh-CN"/>
        </w:rPr>
        <w:t>设计</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二、采购项目预算：</w:t>
      </w:r>
      <w:r>
        <w:rPr>
          <w:rFonts w:hint="eastAsia" w:asciiTheme="minorEastAsia" w:hAnsiTheme="minorEastAsia" w:cstheme="minorEastAsia"/>
          <w:kern w:val="0"/>
          <w:szCs w:val="21"/>
          <w:lang w:val="en-US" w:eastAsia="zh-CN"/>
        </w:rPr>
        <w:t>共计</w:t>
      </w:r>
      <w:r>
        <w:rPr>
          <w:rFonts w:hint="eastAsia" w:asciiTheme="minorEastAsia" w:hAnsiTheme="minorEastAsia" w:cstheme="minorEastAsia"/>
          <w:kern w:val="0"/>
          <w:szCs w:val="21"/>
        </w:rPr>
        <w:t>人民币</w:t>
      </w:r>
      <w:r>
        <w:rPr>
          <w:rFonts w:hint="eastAsia" w:asciiTheme="minorEastAsia" w:hAnsiTheme="minorEastAsia" w:cstheme="minorEastAsia"/>
          <w:kern w:val="0"/>
          <w:szCs w:val="21"/>
          <w:lang w:val="en-US" w:eastAsia="zh-CN"/>
        </w:rPr>
        <w:t>42600.00元</w:t>
      </w:r>
      <w:r>
        <w:rPr>
          <w:rFonts w:hint="eastAsia" w:asciiTheme="minorEastAsia" w:hAnsiTheme="minorEastAsia" w:cstheme="minorEastAsia"/>
          <w:kern w:val="0"/>
          <w:szCs w:val="21"/>
        </w:rPr>
        <w:t>(大写：</w:t>
      </w:r>
      <w:r>
        <w:rPr>
          <w:rFonts w:hint="eastAsia" w:asciiTheme="minorEastAsia" w:hAnsiTheme="minorEastAsia" w:cstheme="minorEastAsia"/>
          <w:kern w:val="0"/>
          <w:szCs w:val="21"/>
          <w:u w:val="single"/>
          <w:lang w:val="en-US" w:eastAsia="zh-CN"/>
        </w:rPr>
        <w:t>肆万贰仟陆佰元</w:t>
      </w:r>
      <w:r>
        <w:rPr>
          <w:rFonts w:hint="eastAsia" w:asciiTheme="minorEastAsia" w:hAnsiTheme="minorEastAsia" w:cstheme="minorEastAsia"/>
          <w:kern w:val="0"/>
          <w:szCs w:val="21"/>
          <w:u w:val="single"/>
        </w:rPr>
        <w:t>整</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其中：</w:t>
      </w:r>
      <w:r>
        <w:rPr>
          <w:rFonts w:hint="eastAsia" w:asciiTheme="minorEastAsia" w:hAnsiTheme="minorEastAsia" w:cstheme="minorEastAsia"/>
          <w:kern w:val="0"/>
          <w:szCs w:val="21"/>
        </w:rPr>
        <w:t>宜昌三峡大老岭自然保护区</w:t>
      </w:r>
      <w:r>
        <w:rPr>
          <w:rFonts w:hint="eastAsia" w:asciiTheme="minorEastAsia" w:hAnsiTheme="minorEastAsia" w:cstheme="minorEastAsia"/>
          <w:kern w:val="0"/>
          <w:szCs w:val="21"/>
          <w:lang w:val="en-US" w:eastAsia="zh-CN"/>
        </w:rPr>
        <w:t>新宫移民居民点生活用水设施改造项目施工图设计预算：共计18600.00元</w:t>
      </w:r>
      <w:r>
        <w:rPr>
          <w:rFonts w:hint="eastAsia" w:asciiTheme="minorEastAsia" w:hAnsiTheme="minorEastAsia" w:cstheme="minorEastAsia"/>
          <w:kern w:val="0"/>
          <w:szCs w:val="21"/>
        </w:rPr>
        <w:t>(大写：</w:t>
      </w:r>
      <w:r>
        <w:rPr>
          <w:rFonts w:hint="eastAsia" w:asciiTheme="minorEastAsia" w:hAnsiTheme="minorEastAsia" w:cstheme="minorEastAsia"/>
          <w:kern w:val="0"/>
          <w:szCs w:val="21"/>
          <w:u w:val="single"/>
          <w:lang w:val="en-US" w:eastAsia="zh-CN"/>
        </w:rPr>
        <w:t>壹万捌仟陆佰元</w:t>
      </w:r>
      <w:r>
        <w:rPr>
          <w:rFonts w:hint="eastAsia" w:asciiTheme="minorEastAsia" w:hAnsiTheme="minorEastAsia" w:cstheme="minorEastAsia"/>
          <w:kern w:val="0"/>
          <w:szCs w:val="21"/>
          <w:u w:val="single"/>
        </w:rPr>
        <w:t>整</w:t>
      </w:r>
      <w:r>
        <w:rPr>
          <w:rFonts w:hint="eastAsia" w:asciiTheme="minorEastAsia" w:hAnsiTheme="minorEastAsia" w:cstheme="minorEastAsia"/>
          <w:kern w:val="0"/>
          <w:szCs w:val="21"/>
        </w:rPr>
        <w:t>)</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rPr>
        <w:t>宜昌三峡大老岭自然保护区</w:t>
      </w:r>
      <w:r>
        <w:rPr>
          <w:rFonts w:hint="eastAsia" w:asciiTheme="minorEastAsia" w:hAnsiTheme="minorEastAsia" w:cstheme="minorEastAsia"/>
          <w:kern w:val="0"/>
          <w:szCs w:val="21"/>
          <w:lang w:val="en-US" w:eastAsia="zh-CN"/>
        </w:rPr>
        <w:t>移民安置区饮用水源保护净化及移民综合楼顶层防渗漏处理工程施工图设计预算：共计24000.00元</w:t>
      </w:r>
      <w:r>
        <w:rPr>
          <w:rFonts w:hint="eastAsia" w:asciiTheme="minorEastAsia" w:hAnsiTheme="minorEastAsia" w:cstheme="minorEastAsia"/>
          <w:kern w:val="0"/>
          <w:szCs w:val="21"/>
        </w:rPr>
        <w:t>(大写：</w:t>
      </w:r>
      <w:r>
        <w:rPr>
          <w:rFonts w:hint="eastAsia" w:asciiTheme="minorEastAsia" w:hAnsiTheme="minorEastAsia" w:cstheme="minorEastAsia"/>
          <w:kern w:val="0"/>
          <w:szCs w:val="21"/>
          <w:u w:val="single"/>
          <w:lang w:val="en-US" w:eastAsia="zh-CN"/>
        </w:rPr>
        <w:t>贰万肆仟元</w:t>
      </w:r>
      <w:r>
        <w:rPr>
          <w:rFonts w:hint="eastAsia" w:asciiTheme="minorEastAsia" w:hAnsiTheme="minorEastAsia" w:cstheme="minorEastAsia"/>
          <w:kern w:val="0"/>
          <w:szCs w:val="21"/>
          <w:u w:val="single"/>
        </w:rPr>
        <w:t>整</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三、</w:t>
      </w:r>
      <w:r>
        <w:rPr>
          <w:rFonts w:hint="eastAsia" w:asciiTheme="minorEastAsia" w:hAnsiTheme="minorEastAsia" w:cstheme="minorEastAsia"/>
          <w:kern w:val="0"/>
          <w:szCs w:val="21"/>
          <w:lang w:eastAsia="zh-CN"/>
        </w:rPr>
        <w:t>项目概况与招标范围</w:t>
      </w:r>
      <w:r>
        <w:rPr>
          <w:rFonts w:hint="eastAsia" w:asciiTheme="minorEastAsia" w:hAnsiTheme="minorEastAsia" w:cstheme="minorEastAsia"/>
          <w:kern w:val="0"/>
          <w:szCs w:val="21"/>
        </w:rPr>
        <w:t>：</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eastAsia="zh-CN"/>
        </w:rPr>
        <w:t>（一）</w:t>
      </w:r>
      <w:r>
        <w:rPr>
          <w:rFonts w:hint="eastAsia" w:asciiTheme="minorEastAsia" w:hAnsiTheme="minorEastAsia" w:cstheme="minorEastAsia"/>
          <w:kern w:val="0"/>
          <w:szCs w:val="21"/>
          <w:lang w:val="en-US" w:eastAsia="zh-CN"/>
        </w:rPr>
        <w:t>项目情况及要求</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项目一：</w:t>
      </w:r>
      <w:r>
        <w:rPr>
          <w:rFonts w:hint="eastAsia" w:asciiTheme="minorEastAsia" w:hAnsiTheme="minorEastAsia" w:cstheme="minorEastAsia"/>
          <w:kern w:val="0"/>
          <w:szCs w:val="21"/>
        </w:rPr>
        <w:t>宜昌三峡大老岭自然保护区</w:t>
      </w:r>
      <w:r>
        <w:rPr>
          <w:rFonts w:hint="eastAsia" w:asciiTheme="minorEastAsia" w:hAnsiTheme="minorEastAsia" w:cstheme="minorEastAsia"/>
          <w:kern w:val="0"/>
          <w:szCs w:val="21"/>
          <w:lang w:val="en-US" w:eastAsia="zh-CN"/>
        </w:rPr>
        <w:t>新宫移民居民点生活用水设施改造项目</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本项目水源来自山体地表水,实施地点位于大老岭自然保护区新宫及新宫管理站，根据现场实际情况对新宫场区及新宫检查站安全饮水方案进行设计，绘制施工图，并提交项目概算。</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项目二：</w:t>
      </w:r>
      <w:r>
        <w:rPr>
          <w:rFonts w:hint="eastAsia" w:asciiTheme="minorEastAsia" w:hAnsiTheme="minorEastAsia" w:cstheme="minorEastAsia"/>
          <w:kern w:val="0"/>
          <w:szCs w:val="21"/>
        </w:rPr>
        <w:t>宜昌三峡大老岭自然保护区</w:t>
      </w:r>
      <w:r>
        <w:rPr>
          <w:rFonts w:hint="eastAsia" w:asciiTheme="minorEastAsia" w:hAnsiTheme="minorEastAsia" w:cstheme="minorEastAsia"/>
          <w:kern w:val="0"/>
          <w:szCs w:val="21"/>
          <w:lang w:val="en-US" w:eastAsia="zh-CN"/>
        </w:rPr>
        <w:t>移民安置区饮用水源保护净化及移民综合楼顶层防渗漏处理工程</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本项目水源来自山体地表水，实施地点位于大老岭自然保护区千斤园、五指山管理站、太平溪移民综合楼，根据现场实际情况对千斤园三个小组、五指山管护站安全饮水方案进行设计，对移民综合楼屋顶防渗漏施工方案进行设计（提供原楼顶图纸），绘制施工图，并提交项目概算。</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（二）招标范围：包括前期实地勘察、施工图设计、项目概算等，</w:t>
      </w:r>
      <w:r>
        <w:rPr>
          <w:rFonts w:hint="eastAsia" w:asciiTheme="minorEastAsia" w:hAnsiTheme="minorEastAsia" w:cstheme="minorEastAsia"/>
          <w:szCs w:val="21"/>
        </w:rPr>
        <w:t>以及建设期间图纸变更、修改、现场指导与监督及后期服务。供应商须配合造价咨询公司完成预算造价。</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（三）勘察设计服务期：</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1、工程实地勘察及施工图设计：合同签订后30日内应向招标人分别提交所涉2个项目的施工图设计文件、施工招标图纸、项目概算等。</w:t>
      </w:r>
    </w:p>
    <w:p>
      <w:pPr>
        <w:spacing w:line="52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kern w:val="0"/>
          <w:szCs w:val="21"/>
          <w:lang w:val="en-US" w:eastAsia="zh-CN"/>
        </w:rPr>
        <w:t>2、配合完成该工程</w:t>
      </w:r>
      <w:r>
        <w:rPr>
          <w:rFonts w:hint="eastAsia" w:asciiTheme="minorEastAsia" w:hAnsiTheme="minorEastAsia" w:cstheme="minorEastAsia"/>
          <w:szCs w:val="21"/>
        </w:rPr>
        <w:t>预算造价</w:t>
      </w:r>
      <w:r>
        <w:rPr>
          <w:rFonts w:hint="eastAsia" w:asciiTheme="minorEastAsia" w:hAnsiTheme="minorEastAsia" w:cstheme="minorEastAsia"/>
          <w:szCs w:val="21"/>
          <w:lang w:eastAsia="zh-CN"/>
        </w:rPr>
        <w:t>（服务期）：向招标人提交全部文件后</w:t>
      </w:r>
      <w:r>
        <w:rPr>
          <w:rFonts w:hint="eastAsia" w:asciiTheme="minorEastAsia" w:hAnsiTheme="minorEastAsia" w:cstheme="minorEastAsia"/>
          <w:szCs w:val="21"/>
          <w:lang w:val="en-US" w:eastAsia="zh-CN"/>
        </w:rPr>
        <w:t>20天内。</w:t>
      </w:r>
    </w:p>
    <w:p>
      <w:pPr>
        <w:spacing w:line="52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3、施工现场及后期设计（服务期）：至工程竣工验收结束。</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（四）</w:t>
      </w:r>
      <w:r>
        <w:rPr>
          <w:rFonts w:hint="eastAsia" w:asciiTheme="minorEastAsia" w:hAnsiTheme="minorEastAsia" w:cstheme="minorEastAsia"/>
          <w:kern w:val="0"/>
          <w:szCs w:val="21"/>
        </w:rPr>
        <w:t>设计要求：</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、符合国家、地方及行业现行相关法律、法规、技术规范、标准、规程。</w:t>
      </w:r>
    </w:p>
    <w:p>
      <w:pPr>
        <w:spacing w:line="520" w:lineRule="exact"/>
        <w:ind w:firstLine="420" w:firstLineChars="200"/>
        <w:rPr>
          <w:rFonts w:asciiTheme="minorEastAsia" w:hAnsiTheme="minorEastAsia" w:cstheme="minorEastAsia"/>
          <w:color w:val="FF0000"/>
          <w:kern w:val="0"/>
          <w:szCs w:val="21"/>
        </w:rPr>
      </w:pPr>
      <w:r>
        <w:rPr>
          <w:rFonts w:hint="eastAsia" w:asciiTheme="minorEastAsia" w:hAnsiTheme="minorEastAsia" w:cstheme="minorEastAsia"/>
          <w:kern w:val="0"/>
          <w:szCs w:val="21"/>
        </w:rPr>
        <w:t>四、服务期：</w:t>
      </w:r>
      <w:r>
        <w:rPr>
          <w:rFonts w:hint="eastAsia" w:asciiTheme="minorEastAsia" w:hAnsiTheme="minorEastAsia" w:cstheme="minorEastAsia"/>
          <w:kern w:val="0"/>
          <w:szCs w:val="21"/>
          <w:lang w:eastAsia="zh-CN"/>
        </w:rPr>
        <w:t>勘察</w:t>
      </w:r>
      <w:r>
        <w:rPr>
          <w:rFonts w:hint="eastAsia" w:asciiTheme="minorEastAsia" w:hAnsiTheme="minorEastAsia" w:cstheme="minorEastAsia"/>
          <w:kern w:val="0"/>
          <w:szCs w:val="21"/>
        </w:rPr>
        <w:t>设计时间期</w:t>
      </w:r>
      <w:r>
        <w:rPr>
          <w:rFonts w:hint="eastAsia" w:asciiTheme="minorEastAsia" w:hAnsiTheme="minorEastAsia" w:cstheme="minorEastAsia"/>
          <w:kern w:val="0"/>
          <w:szCs w:val="21"/>
          <w:lang w:val="en-US" w:eastAsia="zh-CN"/>
        </w:rPr>
        <w:t>30</w:t>
      </w:r>
      <w:r>
        <w:rPr>
          <w:rFonts w:hint="eastAsia" w:asciiTheme="minorEastAsia" w:hAnsiTheme="minorEastAsia" w:cstheme="minorEastAsia"/>
          <w:kern w:val="0"/>
          <w:szCs w:val="21"/>
        </w:rPr>
        <w:t>天；后续技术服务6个月，具体与施工时间同步。</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五、谈判供应商资格条件</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1、符合《中华人民共和国政府采购法》第二十二条规定的供应商。</w:t>
      </w:r>
    </w:p>
    <w:p>
      <w:pPr>
        <w:spacing w:line="52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2、专用资质条件：</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投标人须具备工程设计综合资质</w:t>
      </w:r>
      <w:r>
        <w:rPr>
          <w:rFonts w:hint="eastAsia" w:asciiTheme="minorEastAsia" w:hAnsiTheme="minorEastAsia" w:cstheme="minorEastAsia"/>
          <w:kern w:val="0"/>
          <w:szCs w:val="21"/>
          <w:lang w:val="en-US" w:eastAsia="zh-CN"/>
        </w:rPr>
        <w:t>或建筑设计丙级</w:t>
      </w:r>
      <w:r>
        <w:rPr>
          <w:rFonts w:hint="eastAsia" w:asciiTheme="minorEastAsia" w:hAnsiTheme="minorEastAsia" w:cstheme="minorEastAsia"/>
          <w:kern w:val="0"/>
          <w:szCs w:val="21"/>
          <w:lang w:eastAsia="zh-CN"/>
        </w:rPr>
        <w:t>及以上资质</w:t>
      </w:r>
      <w:r>
        <w:rPr>
          <w:rFonts w:hint="eastAsia" w:asciiTheme="minorEastAsia" w:hAnsiTheme="minorEastAsia" w:cstheme="minorEastAsia"/>
          <w:kern w:val="0"/>
          <w:szCs w:val="21"/>
        </w:rPr>
        <w:t xml:space="preserve"> （资质证书原件</w:t>
      </w:r>
      <w:r>
        <w:rPr>
          <w:rFonts w:hint="eastAsia" w:asciiTheme="minorEastAsia" w:hAnsiTheme="minorEastAsia" w:cstheme="minorEastAsia"/>
          <w:kern w:val="0"/>
          <w:szCs w:val="21"/>
          <w:lang w:eastAsia="zh-CN"/>
        </w:rPr>
        <w:t>复印件需加盖公章</w:t>
      </w:r>
      <w:r>
        <w:rPr>
          <w:rFonts w:hint="eastAsia" w:asciiTheme="minorEastAsia" w:hAnsiTheme="minorEastAsia" w:cstheme="minorEastAsia"/>
          <w:kern w:val="0"/>
          <w:szCs w:val="21"/>
        </w:rPr>
        <w:t>）。</w:t>
      </w:r>
    </w:p>
    <w:p>
      <w:pPr>
        <w:numPr>
          <w:ilvl w:val="0"/>
          <w:numId w:val="1"/>
        </w:numPr>
        <w:spacing w:line="52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信誉要求：</w:t>
      </w:r>
    </w:p>
    <w:p>
      <w:pPr>
        <w:pStyle w:val="18"/>
        <w:numPr>
          <w:ilvl w:val="0"/>
          <w:numId w:val="2"/>
        </w:numPr>
        <w:spacing w:line="520" w:lineRule="exact"/>
        <w:ind w:firstLineChars="0"/>
        <w:rPr>
          <w:rFonts w:asciiTheme="minorEastAsia" w:hAnsiTheme="minorEastAsia" w:cstheme="minorEastAsia"/>
          <w:kern w:val="0"/>
          <w:szCs w:val="21"/>
        </w:rPr>
      </w:pPr>
      <w:r>
        <w:rPr>
          <w:rFonts w:hint="eastAsia" w:asciiTheme="minorEastAsia" w:hAnsiTheme="minorEastAsia" w:cstheme="minorEastAsia"/>
          <w:kern w:val="0"/>
          <w:szCs w:val="21"/>
        </w:rPr>
        <w:t>有良好的财务状况和商业信誉，近三年内至今在采购活动、合同履行、现场服务过程中，未受到公开通报批评。</w:t>
      </w:r>
    </w:p>
    <w:p>
      <w:pPr>
        <w:spacing w:line="520" w:lineRule="exact"/>
        <w:ind w:firstLine="315" w:firstLineChars="150"/>
        <w:rPr>
          <w:rFonts w:asciiTheme="minorEastAsia" w:hAnsiTheme="minorEastAsia" w:cstheme="minorEastAsia"/>
          <w:kern w:val="0"/>
          <w:szCs w:val="21"/>
        </w:rPr>
      </w:pPr>
      <w:r>
        <w:rPr>
          <w:rFonts w:hint="eastAsia" w:asciiTheme="minorEastAsia" w:hAnsiTheme="minorEastAsia" w:cstheme="minorEastAsia"/>
          <w:kern w:val="0"/>
          <w:szCs w:val="21"/>
        </w:rPr>
        <w:t xml:space="preserve"> ②供应商不得存在下列情形之一：</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 xml:space="preserve">    开封日前三年内存在骗取中标或严重违约问题；开封日前两年内存在违反国家有关法律有关禁止分包规定的行为。</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六、本项目不接受联合体投标。</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七、谈判文件的获取</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1、谈判文件获取和查看现场时间：20</w:t>
      </w:r>
      <w:r>
        <w:rPr>
          <w:rFonts w:hint="eastAsia" w:asciiTheme="minorEastAsia" w:hAnsiTheme="minorEastAsia" w:cstheme="minorEastAsia"/>
          <w:kern w:val="0"/>
          <w:szCs w:val="21"/>
          <w:lang w:val="en-US" w:eastAsia="zh-CN"/>
        </w:rPr>
        <w:t>21</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4</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9</w:t>
      </w:r>
      <w:r>
        <w:rPr>
          <w:rFonts w:hint="eastAsia" w:asciiTheme="minorEastAsia" w:hAnsiTheme="minorEastAsia" w:cstheme="minorEastAsia"/>
          <w:kern w:val="0"/>
          <w:szCs w:val="21"/>
        </w:rPr>
        <w:t>日至</w:t>
      </w:r>
      <w:r>
        <w:rPr>
          <w:rFonts w:hint="eastAsia" w:asciiTheme="minorEastAsia" w:hAnsiTheme="minorEastAsia" w:cstheme="minorEastAsia"/>
          <w:kern w:val="0"/>
          <w:szCs w:val="21"/>
          <w:lang w:val="en-US" w:eastAsia="zh-CN"/>
        </w:rPr>
        <w:t>13</w:t>
      </w:r>
      <w:r>
        <w:rPr>
          <w:rFonts w:hint="eastAsia" w:asciiTheme="minorEastAsia" w:hAnsiTheme="minorEastAsia" w:cstheme="minorEastAsia"/>
          <w:kern w:val="0"/>
          <w:szCs w:val="21"/>
        </w:rPr>
        <w:t>日17:30止（</w:t>
      </w:r>
      <w:r>
        <w:rPr>
          <w:rFonts w:hint="eastAsia" w:asciiTheme="minorEastAsia" w:hAnsiTheme="minorEastAsia" w:cstheme="minorEastAsia"/>
          <w:kern w:val="0"/>
          <w:szCs w:val="21"/>
          <w:lang w:eastAsia="zh-CN"/>
        </w:rPr>
        <w:t>自行前往</w:t>
      </w:r>
      <w:r>
        <w:rPr>
          <w:rFonts w:hint="eastAsia" w:asciiTheme="minorEastAsia" w:hAnsiTheme="minorEastAsia" w:cstheme="minorEastAsia"/>
          <w:kern w:val="0"/>
          <w:szCs w:val="21"/>
        </w:rPr>
        <w:t>现场</w:t>
      </w:r>
      <w:r>
        <w:rPr>
          <w:rFonts w:hint="eastAsia" w:asciiTheme="minorEastAsia" w:hAnsiTheme="minorEastAsia" w:cstheme="minorEastAsia"/>
          <w:kern w:val="0"/>
          <w:szCs w:val="21"/>
          <w:lang w:eastAsia="zh-CN"/>
        </w:rPr>
        <w:t>查看，可跟采购联系人提前联系</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2、谈判文件获取方式：直接在宜昌市</w:t>
      </w:r>
      <w:r>
        <w:rPr>
          <w:rFonts w:hint="eastAsia" w:asciiTheme="minorEastAsia" w:hAnsiTheme="minorEastAsia" w:cstheme="minorEastAsia"/>
          <w:kern w:val="0"/>
          <w:szCs w:val="21"/>
          <w:lang w:eastAsia="zh-CN"/>
        </w:rPr>
        <w:t>林业和园林</w:t>
      </w:r>
      <w:r>
        <w:rPr>
          <w:rFonts w:hint="eastAsia" w:asciiTheme="minorEastAsia" w:hAnsiTheme="minorEastAsia" w:cstheme="minorEastAsia"/>
          <w:kern w:val="0"/>
          <w:szCs w:val="21"/>
        </w:rPr>
        <w:t>局网站下载（</w:t>
      </w: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HYPERLINK "http://lyj.yichang.gov.cn/"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http://lyj.yichang.gov.cn/</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八、谈判响应文件递交截止时间及地点</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1、截止时间：20</w:t>
      </w:r>
      <w:r>
        <w:rPr>
          <w:rFonts w:hint="eastAsia" w:asciiTheme="minorEastAsia" w:hAnsiTheme="minorEastAsia" w:cstheme="minorEastAsia"/>
          <w:kern w:val="0"/>
          <w:szCs w:val="21"/>
          <w:lang w:val="en-US" w:eastAsia="zh-CN"/>
        </w:rPr>
        <w:t>21</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4</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14日上午9</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0</w:t>
      </w:r>
      <w:r>
        <w:rPr>
          <w:rFonts w:hint="eastAsia" w:asciiTheme="minorEastAsia" w:hAnsiTheme="minorEastAsia" w:cstheme="minorEastAsia"/>
          <w:kern w:val="0"/>
          <w:szCs w:val="21"/>
        </w:rPr>
        <w:t>0。</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2、递交地点：宜昌三峡大老岭自然保护区管理局</w:t>
      </w:r>
      <w:r>
        <w:rPr>
          <w:rFonts w:hint="eastAsia" w:asciiTheme="minorEastAsia" w:hAnsiTheme="minorEastAsia" w:cstheme="minorEastAsia"/>
          <w:kern w:val="0"/>
          <w:szCs w:val="21"/>
          <w:lang w:eastAsia="zh-CN"/>
        </w:rPr>
        <w:t>办事处</w:t>
      </w:r>
      <w:r>
        <w:rPr>
          <w:rFonts w:hint="eastAsia" w:asciiTheme="minorEastAsia" w:hAnsiTheme="minorEastAsia" w:cstheme="minorEastAsia"/>
          <w:kern w:val="0"/>
          <w:szCs w:val="21"/>
        </w:rPr>
        <w:t>(宜昌市西陵区</w:t>
      </w:r>
      <w:r>
        <w:rPr>
          <w:rFonts w:hint="eastAsia" w:asciiTheme="minorEastAsia" w:hAnsiTheme="minorEastAsia" w:cstheme="minorEastAsia"/>
          <w:kern w:val="0"/>
          <w:szCs w:val="21"/>
          <w:lang w:val="en-US" w:eastAsia="zh-CN"/>
        </w:rPr>
        <w:t>西陵二路13</w:t>
      </w:r>
      <w:r>
        <w:rPr>
          <w:rFonts w:hint="eastAsia" w:asciiTheme="minorEastAsia" w:hAnsiTheme="minorEastAsia" w:cstheme="minorEastAsia"/>
          <w:kern w:val="0"/>
          <w:szCs w:val="21"/>
        </w:rPr>
        <w:t>号)。</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九、谈判会</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本项目谈判响应文件递交截止时间即为谈判开始时间，谈判地点为宜昌三峡大老岭自然保护区管理局</w:t>
      </w:r>
      <w:r>
        <w:rPr>
          <w:rFonts w:hint="eastAsia" w:asciiTheme="minorEastAsia" w:hAnsiTheme="minorEastAsia" w:cstheme="minorEastAsia"/>
          <w:kern w:val="0"/>
          <w:szCs w:val="21"/>
          <w:lang w:eastAsia="zh-CN"/>
        </w:rPr>
        <w:t>办事处</w:t>
      </w:r>
      <w:r>
        <w:rPr>
          <w:rFonts w:hint="eastAsia" w:asciiTheme="minorEastAsia" w:hAnsiTheme="minorEastAsia" w:cstheme="minorEastAsia"/>
          <w:kern w:val="0"/>
          <w:szCs w:val="21"/>
          <w:lang w:val="en-US" w:eastAsia="zh-CN"/>
        </w:rPr>
        <w:t>五</w:t>
      </w:r>
      <w:r>
        <w:rPr>
          <w:rFonts w:hint="eastAsia" w:asciiTheme="minorEastAsia" w:hAnsiTheme="minorEastAsia" w:cstheme="minorEastAsia"/>
          <w:kern w:val="0"/>
          <w:szCs w:val="21"/>
        </w:rPr>
        <w:t>楼会议室(宜昌市西陵区</w:t>
      </w:r>
      <w:r>
        <w:rPr>
          <w:rFonts w:hint="eastAsia" w:asciiTheme="minorEastAsia" w:hAnsiTheme="minorEastAsia" w:cstheme="minorEastAsia"/>
          <w:kern w:val="0"/>
          <w:szCs w:val="21"/>
          <w:lang w:val="en-US" w:eastAsia="zh-CN"/>
        </w:rPr>
        <w:t>西陵二路13</w:t>
      </w:r>
      <w:r>
        <w:rPr>
          <w:rFonts w:hint="eastAsia" w:asciiTheme="minorEastAsia" w:hAnsiTheme="minorEastAsia" w:cstheme="minorEastAsia"/>
          <w:kern w:val="0"/>
          <w:szCs w:val="21"/>
        </w:rPr>
        <w:t>号)。谈判供应商的法定代表人或委托代理人应按规定时间携带身份证明文件（法定代表人身份证明文件或法定代表人授权委托书）、第二代身份证原件准时参加并签到，否则视为自动弃权。</w:t>
      </w:r>
    </w:p>
    <w:p>
      <w:pPr>
        <w:spacing w:line="52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采购单位：宜昌三峡大老岭自然保护区管理局</w:t>
      </w:r>
    </w:p>
    <w:p>
      <w:pPr>
        <w:spacing w:line="520" w:lineRule="exact"/>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cstheme="minorEastAsia"/>
          <w:kern w:val="0"/>
          <w:szCs w:val="21"/>
        </w:rPr>
        <w:t>联系人：</w:t>
      </w:r>
      <w:r>
        <w:rPr>
          <w:rFonts w:hint="eastAsia" w:asciiTheme="minorEastAsia" w:hAnsiTheme="minorEastAsia" w:cstheme="minorEastAsia"/>
          <w:kern w:val="0"/>
          <w:szCs w:val="21"/>
          <w:lang w:val="en-US" w:eastAsia="zh-CN"/>
        </w:rPr>
        <w:t>饶国栋</w:t>
      </w:r>
    </w:p>
    <w:p>
      <w:pPr>
        <w:spacing w:line="520" w:lineRule="exact"/>
        <w:ind w:firstLine="420" w:firstLineChars="200"/>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rPr>
        <w:t>联系电话：0717-6225683；</w:t>
      </w:r>
      <w:r>
        <w:rPr>
          <w:rFonts w:hint="eastAsia" w:asciiTheme="minorEastAsia" w:hAnsiTheme="minorEastAsia" w:cstheme="minorEastAsia"/>
          <w:kern w:val="0"/>
          <w:szCs w:val="21"/>
          <w:lang w:val="en-US" w:eastAsia="zh-CN"/>
        </w:rPr>
        <w:t>15971661629</w:t>
      </w:r>
    </w:p>
    <w:p>
      <w:pPr>
        <w:rPr>
          <w:rFonts w:asciiTheme="minorEastAsia" w:hAnsiTheme="minorEastAsia" w:cstheme="minorEastAsia"/>
          <w:szCs w:val="21"/>
        </w:rPr>
      </w:pPr>
    </w:p>
    <w:p>
      <w:pPr>
        <w:spacing w:line="360" w:lineRule="auto"/>
        <w:ind w:firstLine="642" w:firstLineChars="200"/>
        <w:jc w:val="center"/>
        <w:rPr>
          <w:rStyle w:val="13"/>
        </w:rPr>
      </w:pPr>
      <w:r>
        <w:rPr>
          <w:rStyle w:val="13"/>
        </w:rPr>
        <w:br w:type="page"/>
      </w:r>
      <w:bookmarkStart w:id="21" w:name="_Toc505686268"/>
      <w:r>
        <w:rPr>
          <w:rStyle w:val="13"/>
          <w:rFonts w:hint="eastAsia"/>
        </w:rPr>
        <w:t>第二章谈判须知</w:t>
      </w:r>
      <w:bookmarkEnd w:id="0"/>
      <w:bookmarkEnd w:id="1"/>
      <w:bookmarkEnd w:id="21"/>
      <w:bookmarkStart w:id="22" w:name="_Toc109115535"/>
      <w:bookmarkStart w:id="23" w:name="_Toc326585951"/>
    </w:p>
    <w:bookmarkEnd w:id="15"/>
    <w:bookmarkEnd w:id="16"/>
    <w:bookmarkEnd w:id="17"/>
    <w:bookmarkEnd w:id="18"/>
    <w:bookmarkEnd w:id="19"/>
    <w:bookmarkEnd w:id="20"/>
    <w:p>
      <w:pPr>
        <w:pStyle w:val="3"/>
        <w:ind w:firstLine="482"/>
      </w:pPr>
      <w:bookmarkStart w:id="24" w:name="_Toc427933717"/>
      <w:bookmarkStart w:id="25" w:name="_Toc505686269"/>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1.1本竞争性谈判文件适用于本公告中所述的服务类政府采购项目。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2.2“谈判供应商”是指：符合本谈判文件规定并参加本项目谈判的供应商。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2.4“成交供应商”是指：经谈判小组评审、推荐，采购人依法确定并授予合同的谈判供应商。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2.7“谈判响应文件”是指：谈判供应商根据本文件要求，编制包含报价、技术和服务等所有内容的文件。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3.谈判供应商必须具备的基本条件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3.1符合谈判文件“竞争性谈判邀请函”所规定的供应商资格要求，有能力提供本项目服务的供应商。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谈判费用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4.1谈判供应商应自行承担所有与编写和提交竞争性谈判响应文件有关的费用，不论谈判结果如何，采购人在任何情况下无义务和责任承担此类费用。</w:t>
      </w:r>
    </w:p>
    <w:p>
      <w:pPr>
        <w:pStyle w:val="3"/>
        <w:ind w:firstLine="482"/>
      </w:pPr>
      <w:bookmarkStart w:id="26" w:name="_Toc427933718"/>
      <w:bookmarkStart w:id="27" w:name="_Toc505686270"/>
      <w:r>
        <w:rPr>
          <w:rFonts w:hint="eastAsia"/>
        </w:rPr>
        <w:t>二、竞争性谈判响应文件的编制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5.2谈判供应商应认真阅读、并充分理解本文件的全部内容（包括所有的补充、修改内容），承诺并履行本文件中各项条款规定及要求。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5.3竞争性谈判响应文件必须按本文件的全部内容，包括所有的补充通知及附件进行编制。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5.4如因谈判供应商只填写和提供了本文件要求的部分内容和附件，而给评审造成困难，其可能导致的结果和责任由谈判供应商自行承担。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6.竞争性谈判响应文件的组成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7.竞争性谈判响应文件的编制</w:t>
      </w:r>
    </w:p>
    <w:p>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7.1谈判供应商将编制完成的谈判响应文件采用A4规格纸张进行打印并装订，对未经装订的谈判响应文件可能发生的文件散落或缺损，由此产生的后果其责任由谈判供应商承担；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7.2谈判响应文件须加盖谈判供应商单位公章，并由法定代表人或经其正式授权的代表签字。如为授权代表签字，其《法定代表人授权书》应附在谈判响应文件中。否则视为无效谈判响应文件。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10.谈判的有效期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10.1谈判有效期为谈判之日起90个日历天。谈判供应商谈判有效期不足的将被视为无效谈判。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10.2特殊情况下，在原谈判有效期截止之前，采购人可要求谈判供应商延长谈判有效期。这种要求与答复均应以书面形式提交。谈判供应商可拒绝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28" w:name="_Toc427933719"/>
    </w:p>
    <w:p>
      <w:pPr>
        <w:pStyle w:val="3"/>
        <w:ind w:firstLine="482"/>
      </w:pPr>
      <w:bookmarkStart w:id="29" w:name="_Toc505686271"/>
      <w:r>
        <w:rPr>
          <w:rFonts w:hint="eastAsia"/>
        </w:rPr>
        <w:t>三、谈判报价要求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11.1谈判供应商所提供的技术服务以人民币报价。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11.2谈判总报价应包括供应商为完成本项目所发生的一切费用。价格中应包含所有应缴纳的税费及其他附带服务的费用。供应商估算错误或漏项的风险一律由供应商承担。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11.3对于本文件中未列明，而谈判供应商认为必需的费用也需列入总报价。在合同实施时，采购人将不予支付成交供应商没有列入的项目费用，并认为此项目的费用已包括在总报价中。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ascii="宋体" w:hAnsi="宋体" w:cs="宋体"/>
          <w:color w:val="009999"/>
          <w:kern w:val="0"/>
          <w:sz w:val="24"/>
        </w:rPr>
      </w:pPr>
      <w:r>
        <w:rPr>
          <w:rFonts w:hint="eastAsia" w:ascii="宋体" w:hAnsi="宋体" w:cs="宋体"/>
          <w:kern w:val="0"/>
          <w:sz w:val="24"/>
        </w:rPr>
        <w:t>11.4谈判供应商要详细填写“报价表”中的内容，由法人代表或授权代表签字确认，并加盖单位公章。</w:t>
      </w:r>
    </w:p>
    <w:p>
      <w:pPr>
        <w:pStyle w:val="3"/>
        <w:ind w:firstLine="482"/>
      </w:pPr>
      <w:bookmarkStart w:id="31" w:name="_Toc505686272"/>
      <w:r>
        <w:rPr>
          <w:rFonts w:hint="eastAsia"/>
        </w:rPr>
        <w:t>四、竞争性谈判响应文件的份数、封装和递交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12.谈判响应文件的份数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12.1谈判供应商应编制竞争性谈判响应文件正本一份，副本一份。若未按规定的方式编制和份数提交谈判响应文件的，后果自行承担。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13.谈判响应文件的密封、标记和装订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14.谈判响应文件的递交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14.1谈判供应商应在规定的谈判时间前递交纸质谈判响应文件。逾期送达的，或者未送达指定地点，以及未按指定方式送达的谈判响应文件，后果自行承担。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15.迟交的竞争性谈判响应文件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15.1采购人将拒绝并原封退回在其规定的递交竞争性谈判响应文件截止时间之后收到的任何竞争性谈判响应文件。</w:t>
      </w:r>
    </w:p>
    <w:p>
      <w:pPr>
        <w:pStyle w:val="3"/>
        <w:ind w:firstLine="482"/>
      </w:pPr>
      <w:bookmarkStart w:id="32" w:name="_Toc505686273"/>
      <w:bookmarkStart w:id="33" w:name="_Toc427933721"/>
      <w:r>
        <w:rPr>
          <w:rFonts w:hint="eastAsia"/>
        </w:rPr>
        <w:t>五、谈判的步骤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成立谈判小组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16.1谈判小组由采购人组建，总数为3人或以上的单数组成。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谈判响应文件的审核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17.1谈判小组对谈判供应商递交的竞争性谈判响应文件进行资格和符合性检查，以确定其谈判供应商是否具备参加竞争性谈判采购的资格。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17.2谈判小组具体审查谈判供应商是否具备有效履行合同义务的能力和条件，全部要求的谈判供应商才可能通过资格审查：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17.3竞争性谈判响应文件凡具有下列情形之一者，均视为没有响应谈判文件要求的无效文件：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（1）未按照谈判文件规定要求编制、密封、装订、签署、盖章的；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（3）不符合法律、法规和谈判文件中规定的其他实质性要求的。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17.4竞争性谈判响应文件被确认为无效文件后，该谈判供应商即失去参加本次竞争性谈判采购的资格。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18.4谈判小组按谈判情况和最后报价情况综合评价比较，推荐成交候选供应商名单，形成谈判报告。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18.5谈判供应商的报价均超过了采购预算，采购人不能支付的，谈判活动终止。</w:t>
      </w:r>
    </w:p>
    <w:p>
      <w:pPr>
        <w:pStyle w:val="3"/>
        <w:ind w:firstLine="482"/>
      </w:pPr>
      <w:bookmarkStart w:id="34" w:name="_Toc427933722"/>
      <w:bookmarkStart w:id="35" w:name="_Toc505686274"/>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19.1谈判小组根据符合采购需求、质量和服务均能满足竞争性谈判文件实质性响应要求且报价最低的原则推荐成交候选供应商。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19.2最低报价不是成交的唯一标准。但是，在符合采购需求、质量和服务均能满足竞争性谈判文件实质性响应要求的情况下，报价是确定成交的关键因素。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19.3谈判小组向采购人推荐3名成交候选供应商。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autoSpaceDE w:val="0"/>
        <w:autoSpaceDN w:val="0"/>
        <w:adjustRightInd w:val="0"/>
        <w:spacing w:line="360" w:lineRule="auto"/>
        <w:ind w:firstLine="480" w:firstLineChars="200"/>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19.6成交公示期为1个工作日。</w:t>
      </w:r>
    </w:p>
    <w:p>
      <w:pPr>
        <w:pStyle w:val="3"/>
        <w:ind w:firstLine="482"/>
      </w:pPr>
      <w:bookmarkStart w:id="36" w:name="_Toc505686275"/>
      <w:bookmarkStart w:id="37" w:name="_Toc427933723"/>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3"/>
        <w:ind w:firstLine="482"/>
      </w:pPr>
      <w:bookmarkStart w:id="38" w:name="_Toc427933724"/>
      <w:bookmarkStart w:id="39" w:name="_Toc505686276"/>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2"/>
      </w:pPr>
      <w:bookmarkStart w:id="40" w:name="_Toc427933725"/>
      <w:bookmarkStart w:id="41" w:name="_Toc7425"/>
      <w:bookmarkStart w:id="42" w:name="_Toc10071"/>
      <w:bookmarkStart w:id="43" w:name="_Toc30954"/>
      <w:bookmarkStart w:id="44" w:name="_Toc12908"/>
      <w:bookmarkStart w:id="45" w:name="_Toc29991"/>
      <w:bookmarkStart w:id="46" w:name="_Toc505686277"/>
      <w:bookmarkStart w:id="47" w:name="_Toc27990"/>
      <w:bookmarkStart w:id="48" w:name="_Toc16083"/>
      <w:bookmarkStart w:id="49" w:name="_Toc3208"/>
      <w:bookmarkStart w:id="50" w:name="_Toc17128"/>
      <w:bookmarkStart w:id="51" w:name="_Toc30562"/>
      <w:bookmarkStart w:id="52" w:name="_Toc8410"/>
      <w:bookmarkStart w:id="53" w:name="_Toc18629"/>
      <w:r>
        <w:br w:type="page"/>
      </w:r>
      <w:r>
        <w:rPr>
          <w:rFonts w:hint="eastAsia"/>
        </w:rPr>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1"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hint="eastAsia" w:ascii="宋体" w:hAnsi="宋体"/>
          <w:sz w:val="24"/>
          <w:lang w:val="en-US" w:eastAsia="zh-CN"/>
        </w:rPr>
      </w:pPr>
      <w:r>
        <w:rPr>
          <w:rFonts w:hint="eastAsia" w:ascii="宋体" w:hAnsi="宋体"/>
          <w:sz w:val="24"/>
        </w:rPr>
        <w:t>1、采购内容：</w:t>
      </w:r>
      <w:r>
        <w:rPr>
          <w:rFonts w:hint="eastAsia" w:ascii="宋体" w:hAnsi="宋体"/>
          <w:sz w:val="24"/>
          <w:lang w:val="en-US" w:eastAsia="zh-CN"/>
        </w:rPr>
        <w:t>施工图设计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（一）项目情况及要求</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项目一：宜昌三峡大老岭自然保护区新宫移民居民点生活用水设施改造项目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本项目水源来自山体地表水，根据现场实际情况对新宫场区及新宫检查站安全饮水方案进行设计，绘制施工图，并提交项目概算。</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项目二：宜昌三峡大老岭自然保护区移民安置区饮用水源保护净化及移民综合楼顶层防渗漏处理工程</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本项目水源来自山体地表水，根据现场实际情况对千斤园三个组、五指山管护站安全饮水方案进行设计，对太平溪移民综合楼屋顶防渗漏施工方案进行设计（提供原楼顶图纸），绘制施工图，并提交项目概算。</w:t>
      </w:r>
    </w:p>
    <w:p>
      <w:pPr>
        <w:spacing w:line="360" w:lineRule="auto"/>
        <w:ind w:firstLine="480" w:firstLineChars="200"/>
        <w:rPr>
          <w:rFonts w:ascii="宋体" w:hAnsi="宋体"/>
          <w:sz w:val="24"/>
        </w:rPr>
      </w:pPr>
      <w:r>
        <w:rPr>
          <w:rFonts w:hint="eastAsia" w:ascii="宋体" w:hAnsi="宋体"/>
          <w:sz w:val="24"/>
        </w:rPr>
        <w:t>2、本项目采购预算价：</w:t>
      </w:r>
      <w:r>
        <w:rPr>
          <w:rFonts w:hint="eastAsia" w:ascii="宋体" w:hAnsi="宋体"/>
          <w:sz w:val="24"/>
          <w:lang w:val="en-US" w:eastAsia="zh-CN"/>
        </w:rPr>
        <w:t>共计</w:t>
      </w:r>
      <w:r>
        <w:rPr>
          <w:rFonts w:hint="eastAsia" w:ascii="宋体" w:hAnsi="宋体"/>
          <w:sz w:val="24"/>
        </w:rPr>
        <w:t>人民币</w:t>
      </w:r>
      <w:r>
        <w:rPr>
          <w:rFonts w:hint="eastAsia" w:ascii="宋体" w:hAnsi="宋体"/>
          <w:sz w:val="24"/>
          <w:lang w:val="en-US" w:eastAsia="zh-CN"/>
        </w:rPr>
        <w:t>42600.00元</w:t>
      </w:r>
      <w:r>
        <w:rPr>
          <w:rFonts w:hint="eastAsia" w:ascii="宋体" w:hAnsi="宋体"/>
          <w:sz w:val="24"/>
        </w:rPr>
        <w:t>(大写：</w:t>
      </w:r>
      <w:r>
        <w:rPr>
          <w:rFonts w:hint="eastAsia" w:ascii="宋体" w:hAnsi="宋体"/>
          <w:sz w:val="24"/>
          <w:lang w:val="en-US" w:eastAsia="zh-CN"/>
        </w:rPr>
        <w:t>肆万贰仟陆佰元</w:t>
      </w:r>
      <w:r>
        <w:rPr>
          <w:rFonts w:hint="eastAsia" w:ascii="宋体" w:hAnsi="宋体"/>
          <w:sz w:val="24"/>
        </w:rPr>
        <w:t>整)供应商报价</w:t>
      </w:r>
      <w:r>
        <w:rPr>
          <w:rFonts w:hint="eastAsia" w:ascii="宋体" w:hAnsi="宋体"/>
          <w:sz w:val="24"/>
          <w:lang w:val="en-US" w:eastAsia="zh-CN"/>
        </w:rPr>
        <w:t>总价</w:t>
      </w:r>
      <w:r>
        <w:rPr>
          <w:rFonts w:hint="eastAsia" w:ascii="宋体" w:hAnsi="宋体"/>
          <w:sz w:val="24"/>
        </w:rPr>
        <w:t>不得超过该预算价。</w:t>
      </w:r>
    </w:p>
    <w:p>
      <w:pPr>
        <w:spacing w:line="360" w:lineRule="auto"/>
        <w:ind w:firstLine="480" w:firstLineChars="200"/>
        <w:rPr>
          <w:rFonts w:hint="eastAsia" w:ascii="宋体" w:hAnsi="宋体"/>
          <w:sz w:val="24"/>
        </w:rPr>
      </w:pPr>
      <w:r>
        <w:rPr>
          <w:rFonts w:hint="eastAsia" w:ascii="宋体" w:hAnsi="宋体"/>
          <w:sz w:val="24"/>
        </w:rPr>
        <w:t>宜昌三峡大老岭自然保护区</w:t>
      </w:r>
      <w:r>
        <w:rPr>
          <w:rFonts w:hint="eastAsia" w:ascii="宋体" w:hAnsi="宋体"/>
          <w:sz w:val="24"/>
          <w:lang w:val="en-US" w:eastAsia="zh-CN"/>
        </w:rPr>
        <w:t>新宫移民居民点生活用水设施改造项目施工图设计预算：共计18600.00元</w:t>
      </w:r>
      <w:r>
        <w:rPr>
          <w:rFonts w:hint="eastAsia" w:ascii="宋体" w:hAnsi="宋体"/>
          <w:sz w:val="24"/>
        </w:rPr>
        <w:t>(大写：</w:t>
      </w:r>
      <w:r>
        <w:rPr>
          <w:rFonts w:hint="eastAsia" w:ascii="宋体" w:hAnsi="宋体"/>
          <w:sz w:val="24"/>
          <w:lang w:val="en-US" w:eastAsia="zh-CN"/>
        </w:rPr>
        <w:t>壹万捌仟陆佰元</w:t>
      </w:r>
      <w:r>
        <w:rPr>
          <w:rFonts w:hint="eastAsia" w:ascii="宋体" w:hAnsi="宋体"/>
          <w:sz w:val="24"/>
        </w:rPr>
        <w:t>整)</w:t>
      </w:r>
      <w:r>
        <w:rPr>
          <w:rFonts w:hint="eastAsia" w:ascii="宋体" w:hAnsi="宋体"/>
          <w:sz w:val="24"/>
          <w:lang w:eastAsia="zh-CN"/>
        </w:rPr>
        <w:t>。</w:t>
      </w:r>
      <w:r>
        <w:rPr>
          <w:rFonts w:hint="eastAsia" w:ascii="宋体" w:hAnsi="宋体"/>
          <w:sz w:val="24"/>
        </w:rPr>
        <w:t>供应商</w:t>
      </w:r>
      <w:r>
        <w:rPr>
          <w:rFonts w:hint="eastAsia" w:ascii="宋体" w:hAnsi="宋体"/>
          <w:sz w:val="24"/>
          <w:lang w:val="en-US" w:eastAsia="zh-CN"/>
        </w:rPr>
        <w:t>分项</w:t>
      </w:r>
      <w:r>
        <w:rPr>
          <w:rFonts w:hint="eastAsia" w:ascii="宋体" w:hAnsi="宋体"/>
          <w:sz w:val="24"/>
        </w:rPr>
        <w:t>报价不得超过该预算价。</w:t>
      </w:r>
    </w:p>
    <w:p>
      <w:pPr>
        <w:spacing w:line="360" w:lineRule="auto"/>
        <w:ind w:firstLine="480" w:firstLineChars="200"/>
        <w:rPr>
          <w:rFonts w:hint="eastAsia" w:ascii="宋体" w:hAnsi="宋体"/>
          <w:sz w:val="24"/>
        </w:rPr>
      </w:pPr>
      <w:r>
        <w:rPr>
          <w:rFonts w:hint="eastAsia" w:ascii="宋体" w:hAnsi="宋体"/>
          <w:sz w:val="24"/>
        </w:rPr>
        <w:t>宜昌三峡大老岭自然保护区</w:t>
      </w:r>
      <w:r>
        <w:rPr>
          <w:rFonts w:hint="eastAsia" w:ascii="宋体" w:hAnsi="宋体"/>
          <w:sz w:val="24"/>
          <w:lang w:val="en-US" w:eastAsia="zh-CN"/>
        </w:rPr>
        <w:t>移民安置区饮用水源保护净化及移民综合楼顶层防渗漏处理工程施工图设计预算：共计24000.00元</w:t>
      </w:r>
      <w:r>
        <w:rPr>
          <w:rFonts w:hint="eastAsia" w:ascii="宋体" w:hAnsi="宋体"/>
          <w:sz w:val="24"/>
        </w:rPr>
        <w:t>(大写：</w:t>
      </w:r>
      <w:r>
        <w:rPr>
          <w:rFonts w:hint="eastAsia" w:ascii="宋体" w:hAnsi="宋体"/>
          <w:sz w:val="24"/>
          <w:lang w:val="en-US" w:eastAsia="zh-CN"/>
        </w:rPr>
        <w:t>贰万肆仟元</w:t>
      </w:r>
      <w:r>
        <w:rPr>
          <w:rFonts w:hint="eastAsia" w:ascii="宋体" w:hAnsi="宋体"/>
          <w:sz w:val="24"/>
        </w:rPr>
        <w:t>整)</w:t>
      </w:r>
      <w:r>
        <w:rPr>
          <w:rFonts w:hint="eastAsia" w:ascii="宋体" w:hAnsi="宋体"/>
          <w:sz w:val="24"/>
          <w:lang w:eastAsia="zh-CN"/>
        </w:rPr>
        <w:t>。</w:t>
      </w:r>
      <w:r>
        <w:rPr>
          <w:rFonts w:hint="eastAsia" w:ascii="宋体" w:hAnsi="宋体"/>
          <w:sz w:val="24"/>
        </w:rPr>
        <w:t>供应商</w:t>
      </w:r>
      <w:r>
        <w:rPr>
          <w:rFonts w:hint="eastAsia" w:ascii="宋体" w:hAnsi="宋体"/>
          <w:sz w:val="24"/>
          <w:lang w:val="en-US" w:eastAsia="zh-CN"/>
        </w:rPr>
        <w:t>分项</w:t>
      </w:r>
      <w:r>
        <w:rPr>
          <w:rFonts w:hint="eastAsia" w:ascii="宋体" w:hAnsi="宋体"/>
          <w:sz w:val="24"/>
        </w:rPr>
        <w:t>报价不得超过该预算价。</w:t>
      </w:r>
    </w:p>
    <w:bookmarkEnd w:id="22"/>
    <w:bookmarkEnd w:id="23"/>
    <w:p>
      <w:pPr>
        <w:spacing w:line="360" w:lineRule="auto"/>
        <w:ind w:firstLine="480" w:firstLineChars="200"/>
        <w:rPr>
          <w:rFonts w:hint="eastAsia" w:ascii="宋体" w:hAnsi="宋体"/>
          <w:sz w:val="24"/>
        </w:rPr>
      </w:pPr>
      <w:bookmarkStart w:id="54" w:name="_Toc427933726"/>
      <w:bookmarkStart w:id="55" w:name="_Toc109115551"/>
      <w:r>
        <w:rPr>
          <w:rFonts w:hint="eastAsia" w:ascii="宋体" w:hAnsi="宋体"/>
          <w:sz w:val="24"/>
        </w:rPr>
        <w:t>3、服务期：</w:t>
      </w:r>
      <w:r>
        <w:rPr>
          <w:rFonts w:hint="eastAsia" w:ascii="宋体" w:hAnsi="宋体"/>
          <w:sz w:val="24"/>
          <w:lang w:eastAsia="zh-CN"/>
        </w:rPr>
        <w:t>勘察</w:t>
      </w:r>
      <w:r>
        <w:rPr>
          <w:rFonts w:hint="eastAsia" w:ascii="宋体" w:hAnsi="宋体"/>
          <w:sz w:val="24"/>
        </w:rPr>
        <w:t>设计时间期</w:t>
      </w:r>
      <w:r>
        <w:rPr>
          <w:rFonts w:hint="eastAsia" w:ascii="宋体" w:hAnsi="宋体"/>
          <w:sz w:val="24"/>
          <w:lang w:val="en-US" w:eastAsia="zh-CN"/>
        </w:rPr>
        <w:t>30</w:t>
      </w:r>
      <w:r>
        <w:rPr>
          <w:rFonts w:hint="eastAsia" w:ascii="宋体" w:hAnsi="宋体"/>
          <w:sz w:val="24"/>
        </w:rPr>
        <w:t>天；后续技术服务6个月，具体与施工时间同步。</w:t>
      </w:r>
    </w:p>
    <w:p>
      <w:pPr>
        <w:spacing w:line="360" w:lineRule="auto"/>
        <w:ind w:firstLine="481" w:firstLineChars="200"/>
        <w:rPr>
          <w:rFonts w:ascii="宋体" w:hAnsi="宋体"/>
          <w:sz w:val="24"/>
        </w:rPr>
      </w:pPr>
      <w:r>
        <w:rPr>
          <w:rFonts w:hint="eastAsia" w:ascii="宋体" w:hAnsi="宋体"/>
          <w:b/>
          <w:bCs/>
          <w:sz w:val="24"/>
        </w:rPr>
        <w:t>二、其他要求</w:t>
      </w:r>
    </w:p>
    <w:p>
      <w:pPr>
        <w:spacing w:line="360" w:lineRule="auto"/>
        <w:ind w:firstLine="480" w:firstLineChars="200"/>
        <w:rPr>
          <w:rFonts w:ascii="宋体" w:hAnsi="宋体"/>
          <w:sz w:val="24"/>
        </w:rPr>
      </w:pPr>
      <w:r>
        <w:rPr>
          <w:rFonts w:hint="eastAsia" w:ascii="宋体" w:hAnsi="宋体"/>
          <w:sz w:val="24"/>
          <w:lang w:eastAsia="zh-CN"/>
        </w:rPr>
        <w:t>供应商需</w:t>
      </w:r>
      <w:r>
        <w:rPr>
          <w:rFonts w:hint="eastAsia" w:ascii="宋体" w:hAnsi="宋体"/>
          <w:sz w:val="24"/>
          <w:lang w:val="en-US" w:eastAsia="zh-CN"/>
        </w:rPr>
        <w:t>提交所有施工图设计文件、施工招标图纸、项目概算等。配合</w:t>
      </w:r>
      <w:r>
        <w:rPr>
          <w:rFonts w:hint="eastAsia" w:ascii="宋体" w:hAnsi="宋体"/>
          <w:sz w:val="24"/>
          <w:lang w:eastAsia="zh-CN"/>
        </w:rPr>
        <w:t>采购人</w:t>
      </w:r>
      <w:r>
        <w:rPr>
          <w:rFonts w:hint="eastAsia" w:ascii="宋体" w:hAnsi="宋体"/>
          <w:sz w:val="24"/>
        </w:rPr>
        <w:t>、造价咨询公司完成预算造价。后续服务根据采购要求执行。</w:t>
      </w:r>
    </w:p>
    <w:p>
      <w:pPr>
        <w:spacing w:line="360" w:lineRule="auto"/>
        <w:ind w:firstLine="481" w:firstLineChars="200"/>
        <w:rPr>
          <w:rFonts w:ascii="宋体" w:hAnsi="宋体"/>
          <w:b/>
          <w:bCs/>
          <w:sz w:val="24"/>
        </w:rPr>
      </w:pPr>
      <w:r>
        <w:rPr>
          <w:rFonts w:hint="eastAsia" w:ascii="宋体" w:hAnsi="宋体"/>
          <w:b/>
          <w:bCs/>
          <w:sz w:val="24"/>
        </w:rPr>
        <w:t>三、付款方式</w:t>
      </w:r>
    </w:p>
    <w:p>
      <w:pPr>
        <w:adjustRightInd w:val="0"/>
        <w:snapToGrid w:val="0"/>
        <w:spacing w:line="360" w:lineRule="auto"/>
        <w:ind w:firstLine="480" w:firstLineChars="200"/>
        <w:rPr>
          <w:rFonts w:ascii="宋体" w:hAnsi="宋体"/>
          <w:sz w:val="24"/>
        </w:rPr>
      </w:pPr>
      <w:r>
        <w:rPr>
          <w:rFonts w:hint="eastAsia" w:ascii="宋体" w:hAnsi="宋体"/>
          <w:sz w:val="24"/>
        </w:rPr>
        <w:t>合同签订生效后，供应商及时组织服务，经验收合格后，供应商提交完整资料后采购人在30个工作日内</w:t>
      </w:r>
      <w:r>
        <w:rPr>
          <w:rFonts w:hint="eastAsia" w:ascii="宋体" w:hAnsi="宋体"/>
          <w:sz w:val="24"/>
          <w:lang w:eastAsia="zh-CN"/>
        </w:rPr>
        <w:t>一次性</w:t>
      </w:r>
      <w:r>
        <w:rPr>
          <w:rFonts w:hint="eastAsia" w:ascii="宋体" w:hAnsi="宋体"/>
          <w:sz w:val="24"/>
        </w:rPr>
        <w:t>付清</w:t>
      </w:r>
      <w:r>
        <w:rPr>
          <w:rFonts w:hint="eastAsia" w:ascii="宋体" w:hAnsi="宋体"/>
          <w:sz w:val="24"/>
          <w:lang w:eastAsia="zh-CN"/>
        </w:rPr>
        <w:t>全部</w:t>
      </w:r>
      <w:r>
        <w:rPr>
          <w:rFonts w:hint="eastAsia" w:ascii="宋体" w:hAnsi="宋体"/>
          <w:sz w:val="24"/>
        </w:rPr>
        <w:t>货款。</w:t>
      </w:r>
    </w:p>
    <w:p>
      <w:pPr>
        <w:pStyle w:val="2"/>
        <w:rPr>
          <w:rFonts w:ascii="宋体" w:hAnsi="宋体"/>
          <w:sz w:val="24"/>
          <w:highlight w:val="red"/>
        </w:rPr>
      </w:pPr>
      <w:r>
        <w:rPr>
          <w:rFonts w:ascii="宋体" w:hAnsi="宋体"/>
          <w:color w:val="C00000"/>
          <w:sz w:val="24"/>
        </w:rPr>
        <w:br w:type="page"/>
      </w:r>
    </w:p>
    <w:p>
      <w:pPr>
        <w:spacing w:line="360" w:lineRule="auto"/>
        <w:jc w:val="center"/>
        <w:rPr>
          <w:rStyle w:val="13"/>
        </w:rPr>
      </w:pPr>
      <w:bookmarkStart w:id="56" w:name="_Toc505686279"/>
      <w:r>
        <w:rPr>
          <w:rStyle w:val="13"/>
          <w:rFonts w:hint="eastAsia"/>
        </w:rPr>
        <w:t>第四章竞争性谈判文件</w:t>
      </w:r>
      <w:r>
        <w:rPr>
          <w:rStyle w:val="13"/>
          <w:rFonts w:hint="eastAsia" w:eastAsia="宋体"/>
          <w:lang w:eastAsia="zh-CN"/>
        </w:rPr>
        <w:t>参考</w:t>
      </w:r>
      <w:r>
        <w:rPr>
          <w:rStyle w:val="13"/>
          <w:rFonts w:hint="eastAsia"/>
        </w:rPr>
        <w:t>格式</w:t>
      </w:r>
      <w:bookmarkEnd w:id="54"/>
      <w:bookmarkEnd w:id="56"/>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ascii="宋体" w:hAnsi="宋体" w:cs="宋体"/>
          <w:kern w:val="0"/>
          <w:sz w:val="44"/>
          <w:szCs w:val="44"/>
        </w:rPr>
      </w:pPr>
      <w:r>
        <w:rPr>
          <w:rFonts w:hint="eastAsia" w:ascii="宋体" w:hAnsi="宋体" w:cs="宋体"/>
          <w:kern w:val="0"/>
          <w:sz w:val="44"/>
          <w:szCs w:val="44"/>
        </w:rPr>
        <w:t>（项目名称）</w:t>
      </w: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竞争性谈判响应文件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日期：年月日</w:t>
      </w:r>
    </w:p>
    <w:p>
      <w:pPr>
        <w:pStyle w:val="3"/>
        <w:ind w:firstLine="482"/>
        <w:rPr>
          <w:rFonts w:ascii="宋体" w:cs="宋体"/>
          <w:kern w:val="0"/>
          <w:szCs w:val="28"/>
        </w:rPr>
      </w:pPr>
      <w:r>
        <w:rPr>
          <w:rFonts w:hint="eastAsia"/>
        </w:rPr>
        <w:br w:type="page"/>
      </w:r>
      <w:bookmarkStart w:id="57" w:name="_Toc427933727"/>
      <w:bookmarkStart w:id="58" w:name="_Toc505686280"/>
      <w:bookmarkStart w:id="59" w:name="_Toc427056739"/>
      <w:r>
        <w:rPr>
          <w:rFonts w:hint="eastAsia"/>
        </w:rPr>
        <w:t>一、</w:t>
      </w:r>
      <w:bookmarkEnd w:id="57"/>
      <w:bookmarkEnd w:id="58"/>
      <w:bookmarkEnd w:id="59"/>
      <w:r>
        <w:rPr>
          <w:rFonts w:hint="eastAsia"/>
        </w:rPr>
        <w:t>文件组成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3"/>
        <w:ind w:firstLine="482"/>
        <w:rPr>
          <w:rFonts w:ascii="宋体" w:cs="宋体"/>
          <w:szCs w:val="28"/>
        </w:rPr>
      </w:pPr>
      <w:r>
        <w:rPr>
          <w:rFonts w:hint="eastAsia"/>
          <w:kern w:val="0"/>
          <w:szCs w:val="28"/>
        </w:rPr>
        <w:br w:type="page"/>
      </w:r>
      <w:r>
        <w:rPr>
          <w:rFonts w:hint="eastAsia" w:ascii="宋体" w:cs="宋体"/>
          <w:szCs w:val="28"/>
        </w:rPr>
        <w:t xml:space="preserve">附件一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谈判响应函</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依据贵方</w:t>
      </w:r>
      <w:r>
        <w:rPr>
          <w:rFonts w:hint="eastAsia" w:ascii="宋体" w:hAnsi="宋体" w:cs="宋体"/>
          <w:kern w:val="0"/>
          <w:sz w:val="24"/>
          <w:szCs w:val="28"/>
          <w:u w:val="single"/>
        </w:rPr>
        <w:t>（项目名称）</w:t>
      </w:r>
      <w:r>
        <w:rPr>
          <w:rFonts w:hint="eastAsia" w:ascii="宋体" w:hAnsi="宋体" w:cs="宋体"/>
          <w:kern w:val="0"/>
          <w:sz w:val="24"/>
          <w:szCs w:val="28"/>
        </w:rPr>
        <w:t>项目竞争性谈判邀请函，我方</w:t>
      </w:r>
      <w:r>
        <w:rPr>
          <w:rFonts w:hint="eastAsia" w:ascii="宋体" w:hAnsi="宋体" w:cs="宋体"/>
          <w:kern w:val="0"/>
          <w:sz w:val="24"/>
          <w:szCs w:val="28"/>
          <w:u w:val="single"/>
        </w:rPr>
        <w:t>（姓名和职务）</w:t>
      </w:r>
      <w:r>
        <w:rPr>
          <w:rFonts w:hint="eastAsia" w:ascii="宋体" w:hAnsi="宋体" w:cs="宋体"/>
          <w:kern w:val="0"/>
          <w:sz w:val="24"/>
          <w:szCs w:val="28"/>
        </w:rPr>
        <w:t>经正式授权并代表谈判供应商</w:t>
      </w:r>
      <w:r>
        <w:rPr>
          <w:rFonts w:hint="eastAsia" w:ascii="宋体" w:hAnsi="宋体" w:cs="宋体"/>
          <w:kern w:val="0"/>
          <w:sz w:val="24"/>
          <w:szCs w:val="28"/>
          <w:u w:val="single"/>
        </w:rPr>
        <w:t>（谈判供应商名称、地址）</w:t>
      </w:r>
      <w:r>
        <w:rPr>
          <w:rFonts w:hint="eastAsia" w:ascii="宋体" w:hAnsi="宋体" w:cs="宋体"/>
          <w:kern w:val="0"/>
          <w:sz w:val="24"/>
          <w:szCs w:val="28"/>
        </w:rPr>
        <w:t>提交竞争性谈判响应文件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报价表；</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技术服务方案；</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按竞争性谈判文件谈判须知和技术规格要求提供的有关文件；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 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5．按谈判文件的规定递交元（人民币大写）的谈判保证金。</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在此，授权代表宣布同意如下：</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将按竞争性谈判文件的约定履行合同责任和义务；</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已详细审查全部竞争性谈判文件，包括</w:t>
      </w:r>
      <w:r>
        <w:rPr>
          <w:rFonts w:hint="eastAsia" w:ascii="宋体" w:hAnsi="宋体" w:cs="宋体"/>
          <w:kern w:val="0"/>
          <w:sz w:val="24"/>
          <w:szCs w:val="28"/>
          <w:u w:val="single"/>
        </w:rPr>
        <w:t>（补遗书）（如果有的话）</w:t>
      </w:r>
      <w:r>
        <w:rPr>
          <w:rFonts w:hint="eastAsia" w:ascii="宋体" w:hAnsi="宋体" w:cs="宋体"/>
          <w:kern w:val="0"/>
          <w:sz w:val="24"/>
          <w:szCs w:val="28"/>
        </w:rPr>
        <w:t>；我们完全理解并同意放弃对这方面有不明及误解的权力；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同意提供按照贵方可能要求的与其谈判有关的一切数据或资料；</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4．本谈判有效期为自谈判日起共个日历日。</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 xml:space="preserve">5．接受谈判文件所列须知中第9.7（条）关于没收谈判保证金的约定。 </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6. 与本谈判有关的一切正式往来信函请寄：</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电话/传真：电子函件：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谈判供应商（盖章）：</w:t>
      </w: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kern w:val="0"/>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项目一</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lang w:val="en-US" w:eastAsia="zh-CN"/>
              </w:rPr>
              <w:t>宜昌三峡大老岭自然保护区新宫移民居民点生活用水设施改造项目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项目二</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lang w:val="en-US" w:eastAsia="zh-CN"/>
              </w:rPr>
              <w:t>宜昌三峡大老岭自然保护区移民安置区饮用水源保护净化及移民综合楼顶层防渗漏处理工程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w:t>
      </w:r>
      <w:r>
        <w:rPr>
          <w:rFonts w:hint="eastAsia" w:ascii="宋体" w:hAnsi="宋体" w:cs="宋体"/>
          <w:kern w:val="0"/>
          <w:sz w:val="24"/>
          <w:szCs w:val="28"/>
          <w:lang w:val="en-US" w:eastAsia="zh-CN"/>
        </w:rPr>
        <w:t xml:space="preserve">  </w:t>
      </w:r>
      <w:r>
        <w:rPr>
          <w:rFonts w:hint="eastAsia" w:ascii="宋体" w:hAnsi="宋体" w:cs="宋体"/>
          <w:kern w:val="0"/>
          <w:sz w:val="24"/>
          <w:szCs w:val="28"/>
        </w:rPr>
        <w:t>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szCs w:val="28"/>
        </w:rPr>
        <w:br w:type="page"/>
      </w:r>
      <w:r>
        <w:rPr>
          <w:rFonts w:hint="eastAsia" w:ascii="宋体" w:hAnsi="宋体" w:cs="宋体"/>
          <w:b/>
          <w:kern w:val="0"/>
          <w:sz w:val="32"/>
          <w:szCs w:val="32"/>
        </w:rPr>
        <w:t>报价表（第二轮报价）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项目一</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lang w:val="en-US" w:eastAsia="zh-CN"/>
              </w:rPr>
              <w:t>宜昌三峡大老岭自然保护区新宫移民居民点生活用水设施改造项目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项目二</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lang w:val="en-US" w:eastAsia="zh-CN"/>
              </w:rPr>
              <w:t>宜昌三峡大老岭自然保护区移民安置区饮用水源保护净化及移民综合楼顶层防渗漏处理工程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hint="eastAsia"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br w:type="page"/>
      </w:r>
      <w:bookmarkEnd w:id="55"/>
      <w:r>
        <w:rPr>
          <w:rFonts w:hint="eastAsia" w:ascii="宋体" w:hAnsi="宋体" w:cs="宋体"/>
          <w:b/>
          <w:kern w:val="0"/>
          <w:sz w:val="32"/>
          <w:szCs w:val="32"/>
        </w:rPr>
        <w:t>报价表（第</w:t>
      </w:r>
      <w:r>
        <w:rPr>
          <w:rFonts w:hint="eastAsia" w:ascii="宋体" w:hAnsi="宋体" w:cs="宋体"/>
          <w:b/>
          <w:kern w:val="0"/>
          <w:sz w:val="32"/>
          <w:szCs w:val="32"/>
          <w:lang w:val="en-US" w:eastAsia="zh-CN"/>
        </w:rPr>
        <w:t>三</w:t>
      </w:r>
      <w:r>
        <w:rPr>
          <w:rFonts w:hint="eastAsia" w:ascii="宋体" w:hAnsi="宋体" w:cs="宋体"/>
          <w:b/>
          <w:kern w:val="0"/>
          <w:sz w:val="32"/>
          <w:szCs w:val="32"/>
        </w:rPr>
        <w:t>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项目一</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lang w:val="en-US" w:eastAsia="zh-CN"/>
              </w:rPr>
              <w:t>宜昌三峡大老岭自然保护区新宫移民居民点生活用水设施改造项目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项目二</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lang w:val="en-US" w:eastAsia="zh-CN"/>
              </w:rPr>
              <w:t>宜昌三峡大老岭自然保护区移民安置区饮用水源保护净化及移民综合楼顶防渗漏处理工程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hint="eastAsia"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szCs w:val="28"/>
        </w:rPr>
      </w:pPr>
    </w:p>
    <w:p>
      <w:pPr>
        <w:spacing w:line="360" w:lineRule="auto"/>
        <w:rPr>
          <w:rFonts w:hint="eastAsia" w:ascii="宋体" w:hAnsi="宋体" w:cs="宋体"/>
          <w:kern w:val="0"/>
          <w:sz w:val="24"/>
        </w:rPr>
      </w:pPr>
    </w:p>
    <w:p>
      <w:pPr>
        <w:spacing w:line="360" w:lineRule="auto"/>
        <w:rPr>
          <w:rFonts w:hint="eastAsia"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w:t>
      </w:r>
      <w:r>
        <w:rPr>
          <w:rFonts w:hint="eastAsia" w:ascii="宋体" w:hAnsi="宋体" w:cs="宋体"/>
          <w:sz w:val="24"/>
          <w:lang w:val="en-US" w:eastAsia="zh-CN"/>
        </w:rPr>
        <w:t>宜昌三峡大老岭自然保护区新宫移民居民点生活用水设施改造项目等工程施工图</w:t>
      </w:r>
      <w:r>
        <w:rPr>
          <w:rFonts w:hint="eastAsia" w:ascii="宋体" w:hAnsi="宋体" w:cs="宋体"/>
          <w:sz w:val="24"/>
          <w:lang w:eastAsia="zh-CN"/>
        </w:rPr>
        <w:t>设计</w:t>
      </w:r>
      <w:r>
        <w:rPr>
          <w:rFonts w:hint="eastAsia" w:ascii="宋体" w:hAnsi="宋体" w:cs="宋体"/>
          <w:sz w:val="24"/>
        </w:rPr>
        <w:t>中供应的服务满足谈判文件中规定要求，严格按照技术服务方案开展相关技术服务活动，并积极做好后期服务。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pStyle w:val="16"/>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4"/>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4"/>
        <w:adjustRightInd w:val="0"/>
        <w:snapToGrid w:val="0"/>
        <w:spacing w:line="360" w:lineRule="auto"/>
        <w:ind w:firstLine="420"/>
        <w:rPr>
          <w:rFonts w:hAnsi="宋体" w:cs="宋体"/>
          <w:sz w:val="28"/>
          <w:szCs w:val="28"/>
        </w:rPr>
      </w:pPr>
    </w:p>
    <w:p>
      <w:pPr>
        <w:pStyle w:val="4"/>
        <w:adjustRightInd w:val="0"/>
        <w:snapToGrid w:val="0"/>
        <w:spacing w:line="360" w:lineRule="auto"/>
        <w:ind w:firstLine="420"/>
        <w:rPr>
          <w:rFonts w:hAnsi="宋体" w:cs="宋体"/>
          <w:sz w:val="24"/>
          <w:szCs w:val="24"/>
        </w:rPr>
      </w:pP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4"/>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系的法定代表人,为本采购活动的谈判代表人，签署上述项目的响应文件、进行合同谈判、签署合同和处理与之有关的一切事务。</w:t>
      </w:r>
    </w:p>
    <w:p>
      <w:pPr>
        <w:pStyle w:val="4"/>
        <w:adjustRightInd w:val="0"/>
        <w:snapToGrid w:val="0"/>
        <w:spacing w:line="360" w:lineRule="auto"/>
        <w:rPr>
          <w:rFonts w:hAnsi="宋体" w:cs="宋体"/>
          <w:sz w:val="24"/>
          <w:szCs w:val="24"/>
        </w:rPr>
      </w:pPr>
    </w:p>
    <w:p>
      <w:pPr>
        <w:pStyle w:val="4"/>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16"/>
        <w:spacing w:line="360" w:lineRule="auto"/>
        <w:jc w:val="both"/>
        <w:rPr>
          <w:rFonts w:ascii="宋体" w:hAnsi="宋体" w:eastAsia="宋体" w:cs="宋体"/>
          <w:color w:val="auto"/>
          <w:kern w:val="2"/>
          <w:szCs w:val="28"/>
        </w:rPr>
      </w:pPr>
    </w:p>
    <w:p>
      <w:pPr>
        <w:pStyle w:val="16"/>
        <w:spacing w:line="360" w:lineRule="auto"/>
        <w:rPr>
          <w:rFonts w:ascii="宋体" w:hAnsi="宋体" w:eastAsia="宋体" w:cs="宋体"/>
          <w:color w:val="auto"/>
          <w:szCs w:val="28"/>
        </w:rPr>
      </w:pPr>
    </w:p>
    <w:tbl>
      <w:tblPr>
        <w:tblStyle w:val="10"/>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采购活动的谈判代表人，全权代表我公司处理在该项目采购活动中的一切事宜。代理期限从年月日起至年月日止。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16"/>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16"/>
        <w:spacing w:line="360" w:lineRule="auto"/>
        <w:rPr>
          <w:rFonts w:ascii="宋体" w:hAnsi="宋体" w:eastAsia="宋体" w:cs="宋体"/>
          <w:color w:val="auto"/>
          <w:szCs w:val="28"/>
        </w:rPr>
      </w:pPr>
    </w:p>
    <w:p>
      <w:pPr>
        <w:pStyle w:val="16"/>
        <w:spacing w:line="360" w:lineRule="auto"/>
        <w:rPr>
          <w:rFonts w:ascii="宋体" w:hAnsi="宋体" w:eastAsia="宋体" w:cs="宋体"/>
          <w:color w:val="auto"/>
          <w:szCs w:val="28"/>
        </w:rPr>
      </w:pPr>
    </w:p>
    <w:tbl>
      <w:tblPr>
        <w:tblStyle w:val="10"/>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40" w:right="1519"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33752"/>
    <w:multiLevelType w:val="singleLevel"/>
    <w:tmpl w:val="37033752"/>
    <w:lvl w:ilvl="0" w:tentative="0">
      <w:start w:val="3"/>
      <w:numFmt w:val="decimal"/>
      <w:suff w:val="nothing"/>
      <w:lvlText w:val="%1、"/>
      <w:lvlJc w:val="left"/>
    </w:lvl>
  </w:abstractNum>
  <w:abstractNum w:abstractNumId="1">
    <w:nsid w:val="373D700A"/>
    <w:multiLevelType w:val="multilevel"/>
    <w:tmpl w:val="373D700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0606FB"/>
    <w:rsid w:val="00092052"/>
    <w:rsid w:val="000B0E42"/>
    <w:rsid w:val="000C18E2"/>
    <w:rsid w:val="001006AE"/>
    <w:rsid w:val="00151870"/>
    <w:rsid w:val="00196B0D"/>
    <w:rsid w:val="001D310A"/>
    <w:rsid w:val="001D74FB"/>
    <w:rsid w:val="001F1A21"/>
    <w:rsid w:val="002357B2"/>
    <w:rsid w:val="00243C19"/>
    <w:rsid w:val="002F42E4"/>
    <w:rsid w:val="00325262"/>
    <w:rsid w:val="003F255E"/>
    <w:rsid w:val="00405382"/>
    <w:rsid w:val="004067E2"/>
    <w:rsid w:val="00414FEC"/>
    <w:rsid w:val="00472FC7"/>
    <w:rsid w:val="0047654A"/>
    <w:rsid w:val="004B0F2D"/>
    <w:rsid w:val="00517DBD"/>
    <w:rsid w:val="005449F1"/>
    <w:rsid w:val="00577077"/>
    <w:rsid w:val="005C3E83"/>
    <w:rsid w:val="005D0E7E"/>
    <w:rsid w:val="005E237F"/>
    <w:rsid w:val="005F12E6"/>
    <w:rsid w:val="006E6503"/>
    <w:rsid w:val="00732F22"/>
    <w:rsid w:val="007F29A7"/>
    <w:rsid w:val="008270B2"/>
    <w:rsid w:val="00852E4B"/>
    <w:rsid w:val="00877792"/>
    <w:rsid w:val="008B437C"/>
    <w:rsid w:val="008C1CDF"/>
    <w:rsid w:val="008F1563"/>
    <w:rsid w:val="00940A4D"/>
    <w:rsid w:val="009748A2"/>
    <w:rsid w:val="00987DB6"/>
    <w:rsid w:val="009D0CFA"/>
    <w:rsid w:val="00AC7E2C"/>
    <w:rsid w:val="00AD5EAB"/>
    <w:rsid w:val="00AE736D"/>
    <w:rsid w:val="00B3504F"/>
    <w:rsid w:val="00B379D4"/>
    <w:rsid w:val="00BE48F4"/>
    <w:rsid w:val="00C61252"/>
    <w:rsid w:val="00C63F69"/>
    <w:rsid w:val="00C83B40"/>
    <w:rsid w:val="00D87A85"/>
    <w:rsid w:val="00E21114"/>
    <w:rsid w:val="00E35E07"/>
    <w:rsid w:val="00E764EB"/>
    <w:rsid w:val="00EE0B93"/>
    <w:rsid w:val="00FB2E82"/>
    <w:rsid w:val="02F17E59"/>
    <w:rsid w:val="042C2DC4"/>
    <w:rsid w:val="045D3C1C"/>
    <w:rsid w:val="05202052"/>
    <w:rsid w:val="05FB1873"/>
    <w:rsid w:val="09604E50"/>
    <w:rsid w:val="097B47B2"/>
    <w:rsid w:val="0C2E5A5A"/>
    <w:rsid w:val="106856AF"/>
    <w:rsid w:val="144712F9"/>
    <w:rsid w:val="15412021"/>
    <w:rsid w:val="15EB1528"/>
    <w:rsid w:val="17073847"/>
    <w:rsid w:val="194671C5"/>
    <w:rsid w:val="19881963"/>
    <w:rsid w:val="1B9A64CC"/>
    <w:rsid w:val="1F1C1C8F"/>
    <w:rsid w:val="21CA6BF8"/>
    <w:rsid w:val="22487F27"/>
    <w:rsid w:val="23485ED3"/>
    <w:rsid w:val="24CA7ADA"/>
    <w:rsid w:val="24F153F5"/>
    <w:rsid w:val="25AC3CCD"/>
    <w:rsid w:val="25CD10B3"/>
    <w:rsid w:val="263629D4"/>
    <w:rsid w:val="273D1C22"/>
    <w:rsid w:val="27E21E97"/>
    <w:rsid w:val="28EA65F9"/>
    <w:rsid w:val="2BE61CA3"/>
    <w:rsid w:val="2C0640B6"/>
    <w:rsid w:val="2CB815BF"/>
    <w:rsid w:val="2CBC2346"/>
    <w:rsid w:val="2ED003AB"/>
    <w:rsid w:val="31076CBE"/>
    <w:rsid w:val="339A6592"/>
    <w:rsid w:val="33AF138F"/>
    <w:rsid w:val="361779F9"/>
    <w:rsid w:val="36D31EDD"/>
    <w:rsid w:val="3A0D5E15"/>
    <w:rsid w:val="3A6B69EC"/>
    <w:rsid w:val="3B3356C6"/>
    <w:rsid w:val="3B7A0673"/>
    <w:rsid w:val="3C667BED"/>
    <w:rsid w:val="3D0E2280"/>
    <w:rsid w:val="3D150253"/>
    <w:rsid w:val="3E283987"/>
    <w:rsid w:val="3FFF76A4"/>
    <w:rsid w:val="41113360"/>
    <w:rsid w:val="42710202"/>
    <w:rsid w:val="44ED01A3"/>
    <w:rsid w:val="463C0E7F"/>
    <w:rsid w:val="46B93055"/>
    <w:rsid w:val="48FE2DF0"/>
    <w:rsid w:val="4ADC6276"/>
    <w:rsid w:val="4B7E2AB0"/>
    <w:rsid w:val="4CD30664"/>
    <w:rsid w:val="508C05FD"/>
    <w:rsid w:val="51C13AC8"/>
    <w:rsid w:val="56984966"/>
    <w:rsid w:val="57BF367C"/>
    <w:rsid w:val="5865528A"/>
    <w:rsid w:val="5D42551D"/>
    <w:rsid w:val="5D4E6025"/>
    <w:rsid w:val="5E1712C3"/>
    <w:rsid w:val="5FB503B4"/>
    <w:rsid w:val="615A73AD"/>
    <w:rsid w:val="629714E8"/>
    <w:rsid w:val="636318A1"/>
    <w:rsid w:val="63C015EF"/>
    <w:rsid w:val="647B41BD"/>
    <w:rsid w:val="66450ACF"/>
    <w:rsid w:val="67660F67"/>
    <w:rsid w:val="67E86929"/>
    <w:rsid w:val="6A800B4A"/>
    <w:rsid w:val="6DCD421B"/>
    <w:rsid w:val="6DEA5580"/>
    <w:rsid w:val="6F526EB7"/>
    <w:rsid w:val="6F714F03"/>
    <w:rsid w:val="703B0DDD"/>
    <w:rsid w:val="70C44D18"/>
    <w:rsid w:val="70F658CB"/>
    <w:rsid w:val="72043BEA"/>
    <w:rsid w:val="74251FF7"/>
    <w:rsid w:val="74B46997"/>
    <w:rsid w:val="75CA1ED4"/>
    <w:rsid w:val="7B0A78AD"/>
    <w:rsid w:val="7B130548"/>
    <w:rsid w:val="7E256E5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jc w:val="center"/>
      <w:outlineLvl w:val="0"/>
    </w:pPr>
    <w:rPr>
      <w:rFonts w:ascii="Times New Roman" w:hAnsi="Times New Roman" w:eastAsia="宋体" w:cs="Times New Roman"/>
      <w:b/>
      <w:kern w:val="44"/>
      <w:sz w:val="32"/>
      <w:szCs w:val="44"/>
    </w:rPr>
  </w:style>
  <w:style w:type="paragraph" w:styleId="3">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Balloon Text"/>
    <w:basedOn w:val="1"/>
    <w:link w:val="19"/>
    <w:semiHidden/>
    <w:unhideWhenUsed/>
    <w:qFormat/>
    <w:uiPriority w:val="0"/>
    <w:rPr>
      <w:sz w:val="18"/>
      <w:szCs w:val="18"/>
    </w:rPr>
  </w:style>
  <w:style w:type="paragraph" w:styleId="6">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9">
    <w:name w:val="toc 2"/>
    <w:basedOn w:val="1"/>
    <w:next w:val="1"/>
    <w:qFormat/>
    <w:uiPriority w:val="39"/>
    <w:pPr>
      <w:ind w:firstLine="200" w:firstLineChars="200"/>
      <w:jc w:val="left"/>
    </w:pPr>
    <w:rPr>
      <w:smallCaps/>
      <w:sz w:val="28"/>
      <w:szCs w:val="20"/>
    </w:rPr>
  </w:style>
  <w:style w:type="character" w:styleId="12">
    <w:name w:val="Hyperlink"/>
    <w:qFormat/>
    <w:uiPriority w:val="99"/>
    <w:rPr>
      <w:rFonts w:ascii="Times New Roman" w:hAnsi="Times New Roman" w:eastAsia="宋体" w:cs="Times New Roman"/>
      <w:color w:val="0000FF"/>
      <w:u w:val="single"/>
    </w:rPr>
  </w:style>
  <w:style w:type="character" w:customStyle="1" w:styleId="13">
    <w:name w:val="标题 1 Char"/>
    <w:basedOn w:val="11"/>
    <w:link w:val="2"/>
    <w:qFormat/>
    <w:uiPriority w:val="0"/>
    <w:rPr>
      <w:rFonts w:ascii="Times New Roman" w:hAnsi="Times New Roman" w:eastAsia="宋体" w:cs="Times New Roman"/>
      <w:b/>
      <w:kern w:val="44"/>
      <w:sz w:val="32"/>
      <w:szCs w:val="44"/>
      <w:lang w:val="en-US" w:eastAsia="zh-CN" w:bidi="ar-SA"/>
    </w:rPr>
  </w:style>
  <w:style w:type="paragraph" w:customStyle="1" w:styleId="14">
    <w:name w:val="正文缩进_0"/>
    <w:basedOn w:val="15"/>
    <w:unhideWhenUsed/>
    <w:qFormat/>
    <w:uiPriority w:val="0"/>
    <w:pPr>
      <w:ind w:firstLine="420" w:firstLineChars="200"/>
    </w:pPr>
    <w:rPr>
      <w:rFonts w:ascii="Calibri" w:hAnsi="Calibri"/>
      <w:kern w:val="0"/>
      <w:sz w:val="20"/>
      <w:szCs w:val="20"/>
    </w:rPr>
  </w:style>
  <w:style w:type="paragraph" w:customStyle="1" w:styleId="1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17">
    <w:name w:val="页眉 Char"/>
    <w:basedOn w:val="11"/>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Char"/>
    <w:basedOn w:val="11"/>
    <w:link w:val="5"/>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1090</Words>
  <Characters>6216</Characters>
  <Lines>51</Lines>
  <Paragraphs>14</Paragraphs>
  <TotalTime>0</TotalTime>
  <ScaleCrop>false</ScaleCrop>
  <LinksUpToDate>false</LinksUpToDate>
  <CharactersWithSpaces>7292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greatwall</cp:lastModifiedBy>
  <cp:lastPrinted>2019-09-04T11:13:00Z</cp:lastPrinted>
  <dcterms:modified xsi:type="dcterms:W3CDTF">2021-04-08T15:50:22Z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